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rFonts w:ascii="Arial" w:cs="Arial" w:eastAsia="Arial" w:hAnsi="Arial"/>
          <w:b/>
          <w:bCs/>
          <w:color w:val="1F4E79"/>
          <w:sz w:val="28"/>
          <w:szCs w:val="28"/>
        </w:rPr>
        <w:t xml:space="preserve">CURSO DE ESPECIALIZACIÓN</w:t>
      </w:r>
    </w:p>
    <w:p>
      <w:pPr>
        <w:spacing w:after="400" w:before="100"/>
        <w:jc w:val="center"/>
      </w:pPr>
      <w:r>
        <w:rPr>
          <w:rFonts w:ascii="Arial" w:cs="Arial" w:eastAsia="Arial" w:hAnsi="Arial"/>
          <w:b/>
          <w:bCs/>
          <w:color w:val="1F4E79"/>
          <w:sz w:val="48"/>
          <w:szCs w:val="48"/>
        </w:rPr>
        <w:t xml:space="preserve">METODOLOGÍA HOUSING FIRST</w:t>
      </w:r>
    </w:p>
    <w:p>
      <w:pPr>
        <w:spacing w:after="200" w:before="0"/>
        <w:jc w:val="center"/>
      </w:pPr>
      <w:r>
        <w:rPr>
          <w:rFonts w:ascii="Arial" w:cs="Arial" w:eastAsia="Arial" w:hAnsi="Arial"/>
          <w:i/>
          <w:iCs/>
          <w:color w:val="2E75B6"/>
          <w:sz w:val="26"/>
          <w:szCs w:val="26"/>
        </w:rPr>
        <w:t xml:space="preserve">Una aproximación práctica desde la coordinación de proyectos</w:t>
      </w:r>
    </w:p>
    <w:p>
      <w:pPr>
        <w:pBdr>
          <w:bottom w:val="single" w:color="2E75B6" w:sz="4" w:space="1"/>
        </w:pBdr>
        <w:spacing w:after="200" w:before="200"/>
      </w:pPr>
      <w:r>
        <w:t xml:space="preserve"/>
      </w:r>
    </w:p>
    <w:p>
      <w:pPr>
        <w:spacing w:after="100" w:before="300"/>
        <w:jc w:val="center"/>
      </w:pPr>
      <w:r>
        <w:rPr>
          <w:rFonts w:ascii="Arial" w:cs="Arial" w:eastAsia="Arial" w:hAnsi="Arial"/>
          <w:b/>
          <w:bCs/>
          <w:color w:val="2E75B6"/>
          <w:sz w:val="28"/>
          <w:szCs w:val="28"/>
        </w:rPr>
        <w:t xml:space="preserve">PARTE 2</w:t>
      </w:r>
    </w:p>
    <w:p>
      <w:pPr>
        <w:spacing w:after="600" w:before="0"/>
        <w:jc w:val="center"/>
      </w:pPr>
      <w:r>
        <w:rPr>
          <w:rFonts w:ascii="Arial" w:cs="Arial" w:eastAsia="Arial" w:hAnsi="Arial"/>
          <w:b/>
          <w:bCs/>
          <w:color w:val="000000"/>
          <w:sz w:val="30"/>
          <w:szCs w:val="30"/>
        </w:rPr>
        <w:t xml:space="preserve">PRINCIPIOS METODOLÓGICOS Y PERFIL DE BENEFICIARIOS</w:t>
      </w:r>
    </w:p>
    <w:p>
      <w:pPr>
        <w:spacing w:after="100" w:before="0"/>
        <w:jc w:val="center"/>
      </w:pPr>
      <w:r>
        <w:rPr>
          <w:rFonts w:ascii="Arial" w:cs="Arial" w:eastAsia="Arial" w:hAnsi="Arial"/>
          <w:color w:val="666666"/>
          <w:sz w:val="22"/>
          <w:szCs w:val="22"/>
        </w:rPr>
        <w:t xml:space="preserve">Administración Local · Servicios Sociales · Desarrollo Local</w:t>
      </w:r>
    </w:p>
    <w:p>
      <w:pPr>
        <w:spacing w:after="0" w:before="100"/>
        <w:jc w:val="center"/>
      </w:pPr>
      <w:r>
        <w:rPr>
          <w:rFonts w:ascii="Arial" w:cs="Arial" w:eastAsia="Arial" w:hAnsi="Arial"/>
          <w:color w:val="666666"/>
          <w:sz w:val="22"/>
          <w:szCs w:val="22"/>
        </w:rPr>
        <w:t xml:space="preserve">Comunidad de Madrid · 2024</w:t>
      </w:r>
    </w:p>
    <w:p>
      <w:r>
        <w:br w:type="page"/>
      </w:r>
    </w:p>
    <w:p>
      <w:pPr>
        <w:pageBreakBefore/>
        <w:spacing w:after="200" w:before="0"/>
        <w:jc w:val="center"/>
      </w:pPr>
      <w:r>
        <w:rPr>
          <w:rFonts w:ascii="Arial" w:cs="Arial" w:eastAsia="Arial" w:hAnsi="Arial"/>
          <w:b/>
          <w:bCs/>
          <w:color w:val="1F4E79"/>
          <w:sz w:val="26"/>
          <w:szCs w:val="26"/>
        </w:rPr>
        <w:t xml:space="preserve">ÍNDICE DE CONTENIDOS — PARTE 2</w:t>
      </w:r>
    </w:p>
    <w:sdt>
      <w:sdtPr>
        <w:alias w:val="Índice"/>
      </w:sdtPr>
      <w:sdtContent>
        <w:p>
          <w:r>
            <w:fldChar w:fldCharType="begin" w:dirty="true"/>
            <w:instrText xml:space="preserve">TOC \h \o "1-3"</w:instrText>
            <w:fldChar w:fldCharType="separate"/>
          </w:r>
        </w:p>
        <w:p>
          <w:r>
            <w:fldChar w:fldCharType="end"/>
          </w:r>
        </w:p>
      </w:sdtContent>
    </w:sdt>
    <w:p>
      <w:r>
        <w:br w:type="page"/>
      </w:r>
    </w:p>
    <w:p>
      <w:pPr>
        <w:pStyle w:val="Heading1"/>
        <w:pageBreakBefore/>
        <w:spacing w:after="240" w:before="0"/>
      </w:pPr>
      <w:r>
        <w:rPr>
          <w:rFonts w:ascii="Arial" w:cs="Arial" w:eastAsia="Arial" w:hAnsi="Arial"/>
          <w:b/>
          <w:bCs/>
          <w:color w:val="FFFFFF"/>
          <w:sz w:val="32"/>
          <w:szCs w:val="32"/>
        </w:rPr>
        <w:t xml:space="preserve">MÓDULO 6: LAS CLAVES METODOLÓGICAS DEL HOUSING FIRST</w:t>
      </w:r>
    </w:p>
    <w:p>
      <w:pPr>
        <w:pStyle w:val="Heading2"/>
        <w:spacing w:after="160" w:before="280"/>
      </w:pPr>
      <w:r>
        <w:rPr>
          <w:rFonts w:ascii="Arial" w:cs="Arial" w:eastAsia="Arial" w:hAnsi="Arial"/>
          <w:b/>
          <w:bCs/>
          <w:color w:val="1F4E79"/>
          <w:sz w:val="26"/>
          <w:szCs w:val="26"/>
        </w:rPr>
        <w:t xml:space="preserve">6.1. Introducción: Del Principio a la Práctica</w:t>
      </w:r>
    </w:p>
    <w:p>
      <w:pPr>
        <w:spacing w:after="140" w:before="80" w:line="276"/>
        <w:jc w:val="both"/>
      </w:pPr>
      <w:r>
        <w:rPr>
          <w:rFonts w:ascii="Arial" w:cs="Arial" w:eastAsia="Arial" w:hAnsi="Arial"/>
          <w:b w:val="false"/>
          <w:bCs w:val="false"/>
          <w:i w:val="false"/>
          <w:iCs w:val="false"/>
          <w:color w:val="000000"/>
          <w:sz w:val="22"/>
          <w:szCs w:val="22"/>
        </w:rPr>
        <w:t xml:space="preserve">El Housing First no es solo una idea inspiradora. Es un método concreto cuya aplicación puede ser aprendida, entrenada y evaluada. La experiencia acumulada en proyectos de múltiples países ha permitido identificar un conjunto de claves metodológicas que, cuando se aplican de forma coherente y consistente, determinan el éxito del programa y lo diferencian de otros modelos de intervención.</w:t>
      </w:r>
    </w:p>
    <w:p>
      <w:pPr>
        <w:spacing w:after="140" w:before="80" w:line="276"/>
        <w:jc w:val="both"/>
      </w:pPr>
      <w:r>
        <w:rPr>
          <w:rFonts w:ascii="Arial" w:cs="Arial" w:eastAsia="Arial" w:hAnsi="Arial"/>
          <w:b w:val="false"/>
          <w:bCs w:val="false"/>
          <w:i w:val="false"/>
          <w:iCs w:val="false"/>
          <w:color w:val="000000"/>
          <w:sz w:val="22"/>
          <w:szCs w:val="22"/>
        </w:rPr>
        <w:t xml:space="preserve">Estas claves no son independientes entre sí: forman un sistema en el que cada elemento se sostiene y refuerza con los demás. Eliminar o debilitar cualquiera de ellas no produce una versión simplificada del modelo Housing First, sino un modelo diferente con resultados diferentes, generalmente peores. Esta interdependencia es uno de los argumentos más sólidos en favor de la fidelidad al modelo.</w:t>
      </w:r>
    </w:p>
    <w:p>
      <w:pPr>
        <w:spacing w:after="140" w:before="80" w:line="276"/>
        <w:jc w:val="both"/>
      </w:pPr>
      <w:r>
        <w:rPr>
          <w:rFonts w:ascii="Arial" w:cs="Arial" w:eastAsia="Arial" w:hAnsi="Arial"/>
          <w:b w:val="false"/>
          <w:bCs w:val="false"/>
          <w:i w:val="false"/>
          <w:iCs w:val="false"/>
          <w:color w:val="000000"/>
          <w:sz w:val="22"/>
          <w:szCs w:val="22"/>
        </w:rPr>
        <w:t xml:space="preserve">A continuación se desarrollan las seis claves metodológicas fundamentales tal como se aplican en la práctica de los proyectos Housing First en España. Cada principio se presenta tanto en su formulación teórica como en sus implicaciones prácticas concretas para el trabajo diario de los equipos de intervención y coordinación.</w:t>
      </w:r>
    </w:p>
    <w:p>
      <w:pPr>
        <w:spacing w:after="120" w:before="120"/>
      </w:pPr>
      <w:r>
        <w:t xml:space="preserve"/>
      </w:r>
    </w:p>
    <w:p>
      <w:pPr>
        <w:pStyle w:val="Heading2"/>
        <w:spacing w:after="160" w:before="280"/>
      </w:pPr>
      <w:r>
        <w:rPr>
          <w:rFonts w:ascii="Arial" w:cs="Arial" w:eastAsia="Arial" w:hAnsi="Arial"/>
          <w:b/>
          <w:bCs/>
          <w:color w:val="1F4E79"/>
          <w:sz w:val="26"/>
          <w:szCs w:val="26"/>
        </w:rPr>
        <w:t xml:space="preserve">6.2. Los Seis Principios en Detalle</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c>
          <w:tcPr>
            <w:tcW w:type="dxa" w:w="800"/>
            <w:tcBorders>
              <w:top w:val="nil" w:color="FFFFFF" w:sz="0"/>
              <w:left w:val="nil" w:color="FFFFFF" w:sz="0"/>
              <w:bottom w:val="nil" w:color="FFFFFF" w:sz="0"/>
              <w:right w:val="nil" w:color="FFFFFF" w:sz="0"/>
            </w:tcBorders>
            <w:shd w:fill="1F4E79" w:val="clear"/>
            <w:tcMar>
              <w:top w:type="dxa" w:w="120"/>
              <w:left w:type="dxa" w:w="140"/>
              <w:bottom w:type="dxa" w:w="120"/>
              <w:right w:type="dxa" w:w="140"/>
            </w:tcMar>
            <w:vAlign w:val="center"/>
          </w:tcPr>
          <w:p>
            <w:pPr>
              <w:jc w:val="center"/>
            </w:pPr>
            <w:r>
              <w:rPr>
                <w:rFonts w:ascii="Arial" w:cs="Arial" w:eastAsia="Arial" w:hAnsi="Arial"/>
                <w:b/>
                <w:bCs/>
                <w:color w:val="FFFFFF"/>
                <w:sz w:val="36"/>
                <w:szCs w:val="36"/>
              </w:rPr>
              <w:t xml:space="preserve">1</w:t>
            </w:r>
          </w:p>
        </w:tc>
        <w:tc>
          <w:tcPr>
            <w:tcW w:type="dxa" w:w="8226"/>
            <w:tcBorders>
              <w:top w:val="nil" w:color="FFFFFF" w:sz="0"/>
              <w:left w:val="single" w:color="D6E4F0" w:sz="6"/>
              <w:bottom w:val="nil" w:color="FFFFFF" w:sz="0"/>
              <w:right w:val="nil" w:color="FFFFFF" w:sz="0"/>
            </w:tcBorders>
            <w:shd w:fill="D6E4F0" w:val="clear"/>
            <w:tcMar>
              <w:top w:type="dxa" w:w="100"/>
              <w:left w:type="dxa" w:w="160"/>
              <w:bottom w:type="dxa" w:w="100"/>
              <w:right w:type="dxa" w:w="120"/>
            </w:tcMar>
          </w:tcPr>
          <w:p>
            <w:pPr>
              <w:spacing w:after="60" w:before="0"/>
            </w:pPr>
            <w:r>
              <w:rPr>
                <w:rFonts w:ascii="Arial" w:cs="Arial" w:eastAsia="Arial" w:hAnsi="Arial"/>
                <w:b/>
                <w:bCs/>
                <w:color w:val="1F4E79"/>
                <w:sz w:val="22"/>
                <w:szCs w:val="22"/>
              </w:rPr>
              <w:t xml:space="preserve">La Incondicionalidad de la Ayuda</w:t>
            </w:r>
          </w:p>
          <w:p>
            <w:pPr>
              <w:spacing w:after="0" w:before="40"/>
              <w:jc w:val="both"/>
            </w:pPr>
            <w:r>
              <w:rPr>
                <w:rFonts w:ascii="Arial" w:cs="Arial" w:eastAsia="Arial" w:hAnsi="Arial"/>
                <w:color w:val="000000"/>
                <w:sz w:val="21"/>
                <w:szCs w:val="21"/>
              </w:rPr>
              <w:t xml:space="preserve">Las personas alojadas deben tener las máximas garantías posibles sobre la tenencia de su vivienda. Desde el momento en que acceden a ella, ésta se convierte en su hogar y tienen para con ella los mismos derechos y obligaciones que cualquier inquilino. La continuidad del alojamiento no está supeditada al cumplimiento de objetivos terapéuticos, a la abstinencia de sustancias ni a ninguna otra condición de comportamiento. La persona puede rechazar todos los servicios ofrecidos y seguir viviendo en su vivienda.</w:t>
            </w:r>
          </w:p>
        </w:tc>
      </w:tr>
    </w:tbl>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c>
          <w:tcPr>
            <w:tcW w:type="dxa" w:w="800"/>
            <w:tcBorders>
              <w:top w:val="nil" w:color="FFFFFF" w:sz="0"/>
              <w:left w:val="nil" w:color="FFFFFF" w:sz="0"/>
              <w:bottom w:val="nil" w:color="FFFFFF" w:sz="0"/>
              <w:right w:val="nil" w:color="FFFFFF" w:sz="0"/>
            </w:tcBorders>
            <w:shd w:fill="1F4E79" w:val="clear"/>
            <w:tcMar>
              <w:top w:type="dxa" w:w="120"/>
              <w:left w:type="dxa" w:w="140"/>
              <w:bottom w:type="dxa" w:w="120"/>
              <w:right w:type="dxa" w:w="140"/>
            </w:tcMar>
            <w:vAlign w:val="center"/>
          </w:tcPr>
          <w:p>
            <w:pPr>
              <w:jc w:val="center"/>
            </w:pPr>
            <w:r>
              <w:rPr>
                <w:rFonts w:ascii="Arial" w:cs="Arial" w:eastAsia="Arial" w:hAnsi="Arial"/>
                <w:b/>
                <w:bCs/>
                <w:color w:val="FFFFFF"/>
                <w:sz w:val="36"/>
                <w:szCs w:val="36"/>
              </w:rPr>
              <w:t xml:space="preserve">2</w:t>
            </w:r>
          </w:p>
        </w:tc>
        <w:tc>
          <w:tcPr>
            <w:tcW w:type="dxa" w:w="8226"/>
            <w:tcBorders>
              <w:top w:val="nil" w:color="FFFFFF" w:sz="0"/>
              <w:left w:val="single" w:color="D6E4F0" w:sz="6"/>
              <w:bottom w:val="nil" w:color="FFFFFF" w:sz="0"/>
              <w:right w:val="nil" w:color="FFFFFF" w:sz="0"/>
            </w:tcBorders>
            <w:shd w:fill="D6E4F0" w:val="clear"/>
            <w:tcMar>
              <w:top w:type="dxa" w:w="100"/>
              <w:left w:type="dxa" w:w="160"/>
              <w:bottom w:type="dxa" w:w="100"/>
              <w:right w:type="dxa" w:w="120"/>
            </w:tcMar>
          </w:tcPr>
          <w:p>
            <w:pPr>
              <w:spacing w:after="60" w:before="0"/>
            </w:pPr>
            <w:r>
              <w:rPr>
                <w:rFonts w:ascii="Arial" w:cs="Arial" w:eastAsia="Arial" w:hAnsi="Arial"/>
                <w:b/>
                <w:bCs/>
                <w:color w:val="1F4E79"/>
                <w:sz w:val="22"/>
                <w:szCs w:val="22"/>
              </w:rPr>
              <w:t xml:space="preserve">Separación entre el Alojamiento y el Tratamiento</w:t>
            </w:r>
          </w:p>
          <w:p>
            <w:pPr>
              <w:spacing w:after="0" w:before="40"/>
              <w:jc w:val="both"/>
            </w:pPr>
            <w:r>
              <w:rPr>
                <w:rFonts w:ascii="Arial" w:cs="Arial" w:eastAsia="Arial" w:hAnsi="Arial"/>
                <w:color w:val="000000"/>
                <w:sz w:val="21"/>
                <w:szCs w:val="21"/>
              </w:rPr>
              <w:t xml:space="preserve">La vivienda es el lugar de residencia de la persona. Los tratamientos, terapias y apoyos que ésta necesite se prestan fuera del domicilio, en los recursos normalizados de la comunidad (centros de salud, dispositivos de salud mental, centros de adicciones, etc.). Los profesionales del proyecto son apoyo comunitario, no dispositivo de control del alojamiento. Esta separación protege la autonomía de la persona y evita que el domicilio se convierta en un espacio de supervisión institucional.</w:t>
            </w:r>
          </w:p>
        </w:tc>
      </w:tr>
    </w:tbl>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c>
          <w:tcPr>
            <w:tcW w:type="dxa" w:w="800"/>
            <w:tcBorders>
              <w:top w:val="nil" w:color="FFFFFF" w:sz="0"/>
              <w:left w:val="nil" w:color="FFFFFF" w:sz="0"/>
              <w:bottom w:val="nil" w:color="FFFFFF" w:sz="0"/>
              <w:right w:val="nil" w:color="FFFFFF" w:sz="0"/>
            </w:tcBorders>
            <w:shd w:fill="1F4E79" w:val="clear"/>
            <w:tcMar>
              <w:top w:type="dxa" w:w="120"/>
              <w:left w:type="dxa" w:w="140"/>
              <w:bottom w:type="dxa" w:w="120"/>
              <w:right w:type="dxa" w:w="140"/>
            </w:tcMar>
            <w:vAlign w:val="center"/>
          </w:tcPr>
          <w:p>
            <w:pPr>
              <w:jc w:val="center"/>
            </w:pPr>
            <w:r>
              <w:rPr>
                <w:rFonts w:ascii="Arial" w:cs="Arial" w:eastAsia="Arial" w:hAnsi="Arial"/>
                <w:b/>
                <w:bCs/>
                <w:color w:val="FFFFFF"/>
                <w:sz w:val="36"/>
                <w:szCs w:val="36"/>
              </w:rPr>
              <w:t xml:space="preserve">3</w:t>
            </w:r>
          </w:p>
        </w:tc>
        <w:tc>
          <w:tcPr>
            <w:tcW w:type="dxa" w:w="8226"/>
            <w:tcBorders>
              <w:top w:val="nil" w:color="FFFFFF" w:sz="0"/>
              <w:left w:val="single" w:color="D6E4F0" w:sz="6"/>
              <w:bottom w:val="nil" w:color="FFFFFF" w:sz="0"/>
              <w:right w:val="nil" w:color="FFFFFF" w:sz="0"/>
            </w:tcBorders>
            <w:shd w:fill="D6E4F0" w:val="clear"/>
            <w:tcMar>
              <w:top w:type="dxa" w:w="100"/>
              <w:left w:type="dxa" w:w="160"/>
              <w:bottom w:type="dxa" w:w="100"/>
              <w:right w:type="dxa" w:w="120"/>
            </w:tcMar>
          </w:tcPr>
          <w:p>
            <w:pPr>
              <w:spacing w:after="60" w:before="0"/>
            </w:pPr>
            <w:r>
              <w:rPr>
                <w:rFonts w:ascii="Arial" w:cs="Arial" w:eastAsia="Arial" w:hAnsi="Arial"/>
                <w:b/>
                <w:bCs/>
                <w:color w:val="1F4E79"/>
                <w:sz w:val="22"/>
                <w:szCs w:val="22"/>
              </w:rPr>
              <w:t xml:space="preserve">Respeto, Calidez y Solidaridad</w:t>
            </w:r>
          </w:p>
          <w:p>
            <w:pPr>
              <w:spacing w:after="0" w:before="40"/>
              <w:jc w:val="both"/>
            </w:pPr>
            <w:r>
              <w:rPr>
                <w:rFonts w:ascii="Arial" w:cs="Arial" w:eastAsia="Arial" w:hAnsi="Arial"/>
                <w:color w:val="000000"/>
                <w:sz w:val="21"/>
                <w:szCs w:val="21"/>
              </w:rPr>
              <w:t xml:space="preserve">Estos elementos constituyen el alma del proyecto y son los que permiten crear una relación saludable, positiva y de futuro entre las personas alojadas y quienes les prestan los apoyos. Deben estar presentes en cada interacción: en la forma en que el equipo se comunica, en la actitud ante las recaídas y los errores, en la forma de entrar al domicilio, en el lenguaje utilizado. No son valores declarativos: son prácticas concretas verificables en el trabajo cotidiano.</w:t>
            </w:r>
          </w:p>
        </w:tc>
      </w:tr>
    </w:tbl>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c>
          <w:tcPr>
            <w:tcW w:type="dxa" w:w="800"/>
            <w:tcBorders>
              <w:top w:val="nil" w:color="FFFFFF" w:sz="0"/>
              <w:left w:val="nil" w:color="FFFFFF" w:sz="0"/>
              <w:bottom w:val="nil" w:color="FFFFFF" w:sz="0"/>
              <w:right w:val="nil" w:color="FFFFFF" w:sz="0"/>
            </w:tcBorders>
            <w:shd w:fill="1F4E79" w:val="clear"/>
            <w:tcMar>
              <w:top w:type="dxa" w:w="120"/>
              <w:left w:type="dxa" w:w="140"/>
              <w:bottom w:type="dxa" w:w="120"/>
              <w:right w:type="dxa" w:w="140"/>
            </w:tcMar>
            <w:vAlign w:val="center"/>
          </w:tcPr>
          <w:p>
            <w:pPr>
              <w:jc w:val="center"/>
            </w:pPr>
            <w:r>
              <w:rPr>
                <w:rFonts w:ascii="Arial" w:cs="Arial" w:eastAsia="Arial" w:hAnsi="Arial"/>
                <w:b/>
                <w:bCs/>
                <w:color w:val="FFFFFF"/>
                <w:sz w:val="36"/>
                <w:szCs w:val="36"/>
              </w:rPr>
              <w:t xml:space="preserve">4</w:t>
            </w:r>
          </w:p>
        </w:tc>
        <w:tc>
          <w:tcPr>
            <w:tcW w:type="dxa" w:w="8226"/>
            <w:tcBorders>
              <w:top w:val="nil" w:color="FFFFFF" w:sz="0"/>
              <w:left w:val="single" w:color="D6E4F0" w:sz="6"/>
              <w:bottom w:val="nil" w:color="FFFFFF" w:sz="0"/>
              <w:right w:val="nil" w:color="FFFFFF" w:sz="0"/>
            </w:tcBorders>
            <w:shd w:fill="D6E4F0" w:val="clear"/>
            <w:tcMar>
              <w:top w:type="dxa" w:w="100"/>
              <w:left w:type="dxa" w:w="160"/>
              <w:bottom w:type="dxa" w:w="100"/>
              <w:right w:type="dxa" w:w="120"/>
            </w:tcMar>
          </w:tcPr>
          <w:p>
            <w:pPr>
              <w:spacing w:after="60" w:before="0"/>
            </w:pPr>
            <w:r>
              <w:rPr>
                <w:rFonts w:ascii="Arial" w:cs="Arial" w:eastAsia="Arial" w:hAnsi="Arial"/>
                <w:b/>
                <w:bCs/>
                <w:color w:val="1F4E79"/>
                <w:sz w:val="22"/>
                <w:szCs w:val="22"/>
              </w:rPr>
              <w:t xml:space="preserve">La Elección y la Autodeterminación</w:t>
            </w:r>
          </w:p>
          <w:p>
            <w:pPr>
              <w:spacing w:after="0" w:before="40"/>
              <w:jc w:val="both"/>
            </w:pPr>
            <w:r>
              <w:rPr>
                <w:rFonts w:ascii="Arial" w:cs="Arial" w:eastAsia="Arial" w:hAnsi="Arial"/>
                <w:color w:val="000000"/>
                <w:sz w:val="21"/>
                <w:szCs w:val="21"/>
              </w:rPr>
              <w:t xml:space="preserve">El éxito del modelo Housing First está en buena medida basado en la idea de que las personas sin hogar con largas trayectorias de exclusión son capaces de definir sus propias metas. Las personas que sufren una situación de exclusión prolongada han visto erosionada su capacidad de decisión, habitualmente por años de vida en la calle o en recursos institucionales donde sus elecciones eran limitadas o inexistentes. El proyecto devuelve esta capacidad como elemento terapéutico en sí mismo: la persona elige su barrio, su vivienda, sus objetivos, el ritmo de los apoyos.</w:t>
            </w:r>
          </w:p>
        </w:tc>
      </w:tr>
    </w:tbl>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c>
          <w:tcPr>
            <w:tcW w:type="dxa" w:w="800"/>
            <w:tcBorders>
              <w:top w:val="nil" w:color="FFFFFF" w:sz="0"/>
              <w:left w:val="nil" w:color="FFFFFF" w:sz="0"/>
              <w:bottom w:val="nil" w:color="FFFFFF" w:sz="0"/>
              <w:right w:val="nil" w:color="FFFFFF" w:sz="0"/>
            </w:tcBorders>
            <w:shd w:fill="1F4E79" w:val="clear"/>
            <w:tcMar>
              <w:top w:type="dxa" w:w="120"/>
              <w:left w:type="dxa" w:w="140"/>
              <w:bottom w:type="dxa" w:w="120"/>
              <w:right w:type="dxa" w:w="140"/>
            </w:tcMar>
            <w:vAlign w:val="center"/>
          </w:tcPr>
          <w:p>
            <w:pPr>
              <w:jc w:val="center"/>
            </w:pPr>
            <w:r>
              <w:rPr>
                <w:rFonts w:ascii="Arial" w:cs="Arial" w:eastAsia="Arial" w:hAnsi="Arial"/>
                <w:b/>
                <w:bCs/>
                <w:color w:val="FFFFFF"/>
                <w:sz w:val="36"/>
                <w:szCs w:val="36"/>
              </w:rPr>
              <w:t xml:space="preserve">5</w:t>
            </w:r>
          </w:p>
        </w:tc>
        <w:tc>
          <w:tcPr>
            <w:tcW w:type="dxa" w:w="8226"/>
            <w:tcBorders>
              <w:top w:val="nil" w:color="FFFFFF" w:sz="0"/>
              <w:left w:val="single" w:color="D6E4F0" w:sz="6"/>
              <w:bottom w:val="nil" w:color="FFFFFF" w:sz="0"/>
              <w:right w:val="nil" w:color="FFFFFF" w:sz="0"/>
            </w:tcBorders>
            <w:shd w:fill="D6E4F0" w:val="clear"/>
            <w:tcMar>
              <w:top w:type="dxa" w:w="100"/>
              <w:left w:type="dxa" w:w="160"/>
              <w:bottom w:type="dxa" w:w="100"/>
              <w:right w:type="dxa" w:w="120"/>
            </w:tcMar>
          </w:tcPr>
          <w:p>
            <w:pPr>
              <w:spacing w:after="60" w:before="0"/>
            </w:pPr>
            <w:r>
              <w:rPr>
                <w:rFonts w:ascii="Arial" w:cs="Arial" w:eastAsia="Arial" w:hAnsi="Arial"/>
                <w:b/>
                <w:bCs/>
                <w:color w:val="1F4E79"/>
                <w:sz w:val="22"/>
                <w:szCs w:val="22"/>
              </w:rPr>
              <w:t xml:space="preserve">Orientación hacia la Recuperación y el Apoyo Proporcional</w:t>
            </w:r>
          </w:p>
          <w:p>
            <w:pPr>
              <w:spacing w:after="0" w:before="40"/>
              <w:jc w:val="both"/>
            </w:pPr>
            <w:r>
              <w:rPr>
                <w:rFonts w:ascii="Arial" w:cs="Arial" w:eastAsia="Arial" w:hAnsi="Arial"/>
                <w:color w:val="000000"/>
                <w:sz w:val="21"/>
                <w:szCs w:val="21"/>
              </w:rPr>
              <w:t xml:space="preserve">Los apoyos que ejerce el equipo son proporcionales a las demandas y a las capacidades de la persona. El proyecto no trata de crear dependencia sino de aumentar o disminuir el apoyo según las necesidades reales en cada momento. La orientación hacia la recuperación implica reconocer que la mejora no es lineal: habrá recaídas, crisis, retrocesos. El equipo trabaja desde una perspectiva de largo plazo, manteniendo la relación y el apoyo incluso en los momentos más difíciles, sin caer en el desánimo ni en el juicio.</w:t>
            </w:r>
          </w:p>
        </w:tc>
      </w:tr>
    </w:tbl>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c>
          <w:tcPr>
            <w:tcW w:type="dxa" w:w="800"/>
            <w:tcBorders>
              <w:top w:val="nil" w:color="FFFFFF" w:sz="0"/>
              <w:left w:val="nil" w:color="FFFFFF" w:sz="0"/>
              <w:bottom w:val="nil" w:color="FFFFFF" w:sz="0"/>
              <w:right w:val="nil" w:color="FFFFFF" w:sz="0"/>
            </w:tcBorders>
            <w:shd w:fill="1F4E79" w:val="clear"/>
            <w:tcMar>
              <w:top w:type="dxa" w:w="120"/>
              <w:left w:type="dxa" w:w="140"/>
              <w:bottom w:type="dxa" w:w="120"/>
              <w:right w:type="dxa" w:w="140"/>
            </w:tcMar>
            <w:vAlign w:val="center"/>
          </w:tcPr>
          <w:p>
            <w:pPr>
              <w:jc w:val="center"/>
            </w:pPr>
            <w:r>
              <w:rPr>
                <w:rFonts w:ascii="Arial" w:cs="Arial" w:eastAsia="Arial" w:hAnsi="Arial"/>
                <w:b/>
                <w:bCs/>
                <w:color w:val="FFFFFF"/>
                <w:sz w:val="36"/>
                <w:szCs w:val="36"/>
              </w:rPr>
              <w:t xml:space="preserve">6</w:t>
            </w:r>
          </w:p>
        </w:tc>
        <w:tc>
          <w:tcPr>
            <w:tcW w:type="dxa" w:w="8226"/>
            <w:tcBorders>
              <w:top w:val="nil" w:color="FFFFFF" w:sz="0"/>
              <w:left w:val="single" w:color="D6E4F0" w:sz="6"/>
              <w:bottom w:val="nil" w:color="FFFFFF" w:sz="0"/>
              <w:right w:val="nil" w:color="FFFFFF" w:sz="0"/>
            </w:tcBorders>
            <w:shd w:fill="D6E4F0" w:val="clear"/>
            <w:tcMar>
              <w:top w:type="dxa" w:w="100"/>
              <w:left w:type="dxa" w:w="160"/>
              <w:bottom w:type="dxa" w:w="100"/>
              <w:right w:type="dxa" w:w="120"/>
            </w:tcMar>
          </w:tcPr>
          <w:p>
            <w:pPr>
              <w:spacing w:after="60" w:before="0"/>
            </w:pPr>
            <w:r>
              <w:rPr>
                <w:rFonts w:ascii="Arial" w:cs="Arial" w:eastAsia="Arial" w:hAnsi="Arial"/>
                <w:b/>
                <w:bCs/>
                <w:color w:val="1F4E79"/>
                <w:sz w:val="22"/>
                <w:szCs w:val="22"/>
              </w:rPr>
              <w:t xml:space="preserve">El Alojamiento como Derecho Fundamental</w:t>
            </w:r>
          </w:p>
          <w:p>
            <w:pPr>
              <w:spacing w:after="0" w:before="40"/>
              <w:jc w:val="both"/>
            </w:pPr>
            <w:r>
              <w:rPr>
                <w:rFonts w:ascii="Arial" w:cs="Arial" w:eastAsia="Arial" w:hAnsi="Arial"/>
                <w:color w:val="000000"/>
                <w:sz w:val="21"/>
                <w:szCs w:val="21"/>
              </w:rPr>
              <w:t xml:space="preserve">El alojamiento no es una recompensa por el comportamiento adecuado ni el resultado final de un proceso de rehabilitación. Es un derecho fundamental que ofrece elementos esenciales para cualquier ser humano: seguridad, intimidad, salud, sentido de pertenencia y acceso al ejercicio de la ciudadanía. El objetivo final no es mantener a la persona alojada en el programa, sino que alcance la plena ciudadanía. La vivienda es el punto de partida hacia ese objetivo, no el destino.</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6.3. Implicaciones Prácticas de los Principios</w:t>
      </w:r>
    </w:p>
    <w:p>
      <w:pPr>
        <w:spacing w:after="140" w:before="80" w:line="276"/>
        <w:jc w:val="both"/>
      </w:pPr>
      <w:r>
        <w:rPr>
          <w:rFonts w:ascii="Arial" w:cs="Arial" w:eastAsia="Arial" w:hAnsi="Arial"/>
          <w:b w:val="false"/>
          <w:bCs w:val="false"/>
          <w:i w:val="false"/>
          <w:iCs w:val="false"/>
          <w:color w:val="000000"/>
          <w:sz w:val="22"/>
          <w:szCs w:val="22"/>
        </w:rPr>
        <w:t xml:space="preserve">Cada uno de los seis principios tiene implicaciones prácticas muy concretas en el trabajo cotidiano del equipo. A continuación se detallan las más relevantes desde la perspectiva de la coordinación de proyectos:</w:t>
      </w:r>
    </w:p>
    <w:p>
      <w:pPr>
        <w:pStyle w:val="Heading3"/>
        <w:spacing w:after="120" w:before="200"/>
      </w:pPr>
      <w:r>
        <w:rPr>
          <w:rFonts w:ascii="Arial" w:cs="Arial" w:eastAsia="Arial" w:hAnsi="Arial"/>
          <w:b/>
          <w:bCs/>
          <w:color w:val="2E75B6"/>
          <w:sz w:val="24"/>
          <w:szCs w:val="24"/>
        </w:rPr>
        <w:t xml:space="preserve">Implicaciones de la Incondicionalidad</w:t>
      </w:r>
    </w:p>
    <w:p>
      <w:pPr>
        <w:spacing w:after="140" w:before="80" w:line="276"/>
        <w:jc w:val="both"/>
      </w:pPr>
      <w:r>
        <w:rPr>
          <w:rFonts w:ascii="Arial" w:cs="Arial" w:eastAsia="Arial" w:hAnsi="Arial"/>
          <w:b w:val="false"/>
          <w:bCs w:val="false"/>
          <w:i w:val="false"/>
          <w:iCs w:val="false"/>
          <w:color w:val="000000"/>
          <w:sz w:val="22"/>
          <w:szCs w:val="22"/>
        </w:rPr>
        <w:t xml:space="preserve">La incondicionalidad es con diferencia el principio más difícil de sostener en la práctica, porque va contra el sentido común de muchos profesionales y contra las expectativas de propietarios, vecinos y administraciones públicas. Sus implicaciones concretas son:</w:t>
      </w:r>
    </w:p>
    <w:p>
      <w:pPr>
        <w:pStyle w:val="ListParagraph"/>
        <w:numPr>
          <w:ilvl w:val="0"/>
          <w:numId w:val="2"/>
        </w:numPr>
        <w:spacing w:after="80" w:before="60" w:line="276"/>
      </w:pPr>
      <w:r>
        <w:rPr>
          <w:rFonts w:ascii="Arial" w:cs="Arial" w:eastAsia="Arial" w:hAnsi="Arial"/>
          <w:color w:val="000000"/>
          <w:sz w:val="22"/>
          <w:szCs w:val="22"/>
        </w:rPr>
        <w:t xml:space="preserve">No se puede expulsar a una persona de su vivienda por consumo de sustancias dentro del domicilio, siempre que no cause daños objetivos y documentados a terceros o a la propia vivienda.</w:t>
      </w:r>
    </w:p>
    <w:p>
      <w:pPr>
        <w:pStyle w:val="ListParagraph"/>
        <w:numPr>
          <w:ilvl w:val="0"/>
          <w:numId w:val="2"/>
        </w:numPr>
        <w:spacing w:after="80" w:before="60" w:line="276"/>
      </w:pPr>
      <w:r>
        <w:rPr>
          <w:rFonts w:ascii="Arial" w:cs="Arial" w:eastAsia="Arial" w:hAnsi="Arial"/>
          <w:color w:val="000000"/>
          <w:sz w:val="22"/>
          <w:szCs w:val="22"/>
        </w:rPr>
        <w:t xml:space="preserve">No se puede condicionar la continuidad del alojamiento a la asistencia a sesiones terapéuticas, al cumplimiento del plan de trabajo o a la abstinencia.</w:t>
      </w:r>
    </w:p>
    <w:p>
      <w:pPr>
        <w:pStyle w:val="ListParagraph"/>
        <w:numPr>
          <w:ilvl w:val="0"/>
          <w:numId w:val="2"/>
        </w:numPr>
        <w:spacing w:after="80" w:before="60" w:line="276"/>
      </w:pPr>
      <w:r>
        <w:rPr>
          <w:rFonts w:ascii="Arial" w:cs="Arial" w:eastAsia="Arial" w:hAnsi="Arial"/>
          <w:color w:val="000000"/>
          <w:sz w:val="22"/>
          <w:szCs w:val="22"/>
        </w:rPr>
        <w:t xml:space="preserve">El equipo debe trabajar con el concepto de 'incumplimiento de buena vecindad' diferenciado del 'incumplimiento de la ley'. Solo el segundo puede justificar medidas extraordinarias. Las molestias vecinales, el desorden o el descuido del domicilio son situaciones que se abordan con acompañamiento, no con amenazas de pérdida del alojamiento.</w:t>
      </w:r>
    </w:p>
    <w:p>
      <w:pPr>
        <w:pStyle w:val="ListParagraph"/>
        <w:numPr>
          <w:ilvl w:val="0"/>
          <w:numId w:val="2"/>
        </w:numPr>
        <w:spacing w:after="80" w:before="60" w:line="276"/>
      </w:pPr>
      <w:r>
        <w:rPr>
          <w:rFonts w:ascii="Arial" w:cs="Arial" w:eastAsia="Arial" w:hAnsi="Arial"/>
          <w:color w:val="000000"/>
          <w:sz w:val="22"/>
          <w:szCs w:val="22"/>
        </w:rPr>
        <w:t xml:space="preserve">Los únicos motivos válidos para iniciar un proceso de resolución del arrendamiento son: impago reiterado de la contribución cuando la persona dispone de ingresos para ello, daños graves y deliberados a la vivienda, o conductas que constituyan delito grave contra los vecinos.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180"/>
              <w:bottom w:type="dxa" w:w="120"/>
              <w:right w:type="dxa" w:w="180"/>
            </w:tcMar>
          </w:tcPr>
          <w:p>
            <w:pPr>
              <w:spacing w:after="80" w:before="0"/>
            </w:pPr>
            <w:r>
              <w:rPr>
                <w:rFonts w:ascii="Arial" w:cs="Arial" w:eastAsia="Arial" w:hAnsi="Arial"/>
                <w:b/>
                <w:bCs/>
                <w:color w:val="1F4E79"/>
                <w:sz w:val="22"/>
                <w:szCs w:val="22"/>
              </w:rPr>
              <w:t xml:space="preserve">DISTINCIÓN CLAVE: INCUMPLIMIENTO VECINAL vs. INCUMPLIMIENTO LEGAL</w:t>
            </w:r>
          </w:p>
          <w:p>
            <w:pPr>
              <w:spacing w:after="60" w:before="40" w:line="276"/>
              <w:jc w:val="both"/>
            </w:pPr>
            <w:r>
              <w:rPr>
                <w:rFonts w:ascii="Arial" w:cs="Arial" w:eastAsia="Arial" w:hAnsi="Arial"/>
                <w:color w:val="000000"/>
                <w:sz w:val="21"/>
                <w:szCs w:val="21"/>
              </w:rPr>
              <w:t xml:space="preserve">En la práctica de coordinación de proyectos Housing First esta distinción es fundamental y debe ser interiorizada por todo el equipo. Muchas de las situaciones difíciles que se generan en los domicilios —ruidos, suciedad, visitas frecuentes, estado del portal— son incumplimientos de las normas básicas de convivencia que se resuelven mediante acompañamiento, mediación vecinal y trabajo sostenido con la persona.</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Solo cuando la conducta de la persona constituye un delito penal tipificado (agresión, tráfico de drogas con domicilio como punto de venta, amenazas con armas) es posible y necesario activar los mecanismos legales. Confundir ambas categorías —como suele ocurrir en los primeros estadios de implementación de un programa— lleva a respuestas desproporcionadas que dañan la relación terapéutica y erosionan la fidelidad al modelo.</w:t>
            </w:r>
          </w:p>
        </w:tc>
      </w:tr>
    </w:tbl>
    <w:p>
      <w:pPr>
        <w:spacing w:after="120" w:before="120"/>
      </w:pPr>
      <w:r>
        <w:t xml:space="preserve"/>
      </w:r>
    </w:p>
    <w:p>
      <w:pPr>
        <w:pStyle w:val="Heading3"/>
        <w:spacing w:after="120" w:before="200"/>
      </w:pPr>
      <w:r>
        <w:rPr>
          <w:rFonts w:ascii="Arial" w:cs="Arial" w:eastAsia="Arial" w:hAnsi="Arial"/>
          <w:b/>
          <w:bCs/>
          <w:color w:val="2E75B6"/>
          <w:sz w:val="24"/>
          <w:szCs w:val="24"/>
        </w:rPr>
        <w:t xml:space="preserve">Implicaciones de la Separación Vivienda-Tratamiento</w:t>
      </w:r>
    </w:p>
    <w:p>
      <w:pPr>
        <w:spacing w:after="140" w:before="80" w:line="276"/>
        <w:jc w:val="both"/>
      </w:pPr>
      <w:r>
        <w:rPr>
          <w:rFonts w:ascii="Arial" w:cs="Arial" w:eastAsia="Arial" w:hAnsi="Arial"/>
          <w:b w:val="false"/>
          <w:bCs w:val="false"/>
          <w:i w:val="false"/>
          <w:iCs w:val="false"/>
          <w:color w:val="000000"/>
          <w:sz w:val="22"/>
          <w:szCs w:val="22"/>
        </w:rPr>
        <w:t xml:space="preserve">Este principio transforma radicalmente la forma en que el equipo se relaciona con el domicilio de la persona. El técnico de intervención no es un inspector del piso ni un supervisor de la conducta del participante en su hogar. Sus implicaciones concretas:</w:t>
      </w:r>
    </w:p>
    <w:p>
      <w:pPr>
        <w:pStyle w:val="ListParagraph"/>
        <w:numPr>
          <w:ilvl w:val="0"/>
          <w:numId w:val="2"/>
        </w:numPr>
        <w:spacing w:after="80" w:before="60" w:line="276"/>
      </w:pPr>
      <w:r>
        <w:rPr>
          <w:rFonts w:ascii="Arial" w:cs="Arial" w:eastAsia="Arial" w:hAnsi="Arial"/>
          <w:color w:val="000000"/>
          <w:sz w:val="22"/>
          <w:szCs w:val="22"/>
        </w:rPr>
        <w:t xml:space="preserve">Las visitas al domicilio se realizan siempre previo aviso y con el consentimiento de la persona. El técnico entra como visita, no como controlador.</w:t>
      </w:r>
    </w:p>
    <w:p>
      <w:pPr>
        <w:pStyle w:val="ListParagraph"/>
        <w:numPr>
          <w:ilvl w:val="0"/>
          <w:numId w:val="2"/>
        </w:numPr>
        <w:spacing w:after="80" w:before="60" w:line="276"/>
      </w:pPr>
      <w:r>
        <w:rPr>
          <w:rFonts w:ascii="Arial" w:cs="Arial" w:eastAsia="Arial" w:hAnsi="Arial"/>
          <w:color w:val="000000"/>
          <w:sz w:val="22"/>
          <w:szCs w:val="22"/>
        </w:rPr>
        <w:t xml:space="preserve">El estado del domicilio (limpieza, orden) no es indicador de calidad de la intervención ni motivo de informe negativo, salvo que genere un riesgo sanitario grave.</w:t>
      </w:r>
    </w:p>
    <w:p>
      <w:pPr>
        <w:pStyle w:val="ListParagraph"/>
        <w:numPr>
          <w:ilvl w:val="0"/>
          <w:numId w:val="2"/>
        </w:numPr>
        <w:spacing w:after="80" w:before="60" w:line="276"/>
      </w:pPr>
      <w:r>
        <w:rPr>
          <w:rFonts w:ascii="Arial" w:cs="Arial" w:eastAsia="Arial" w:hAnsi="Arial"/>
          <w:color w:val="000000"/>
          <w:sz w:val="22"/>
          <w:szCs w:val="22"/>
        </w:rPr>
        <w:t xml:space="preserve">Los tratamientos médicos, psiquiátricos o de adicciones se coordinan con los dispositivos comunitarios (CAP, CSMA, CAS, UPCCA, etc.) y se apoyan pero no se implementan desde el domicilio.</w:t>
      </w:r>
    </w:p>
    <w:p>
      <w:pPr>
        <w:pStyle w:val="ListParagraph"/>
        <w:numPr>
          <w:ilvl w:val="0"/>
          <w:numId w:val="2"/>
        </w:numPr>
        <w:spacing w:after="80" w:before="60" w:line="276"/>
      </w:pPr>
      <w:r>
        <w:rPr>
          <w:rFonts w:ascii="Arial" w:cs="Arial" w:eastAsia="Arial" w:hAnsi="Arial"/>
          <w:color w:val="000000"/>
          <w:sz w:val="22"/>
          <w:szCs w:val="22"/>
        </w:rPr>
        <w:t xml:space="preserve">El equipo facilita y acompaña el acceso a los recursos comunitarios, pero la decisión de acudir o no a esos recursos pertenece en todo momento a la persona.</w:t>
      </w:r>
    </w:p>
    <w:p>
      <w:pPr>
        <w:pStyle w:val="Heading3"/>
        <w:spacing w:after="120" w:before="200"/>
      </w:pPr>
      <w:r>
        <w:rPr>
          <w:rFonts w:ascii="Arial" w:cs="Arial" w:eastAsia="Arial" w:hAnsi="Arial"/>
          <w:b/>
          <w:bCs/>
          <w:color w:val="2E75B6"/>
          <w:sz w:val="24"/>
          <w:szCs w:val="24"/>
        </w:rPr>
        <w:t xml:space="preserve">Implicaciones de la Elección y la Autodeterminación</w:t>
      </w:r>
    </w:p>
    <w:p>
      <w:pPr>
        <w:pStyle w:val="ListParagraph"/>
        <w:numPr>
          <w:ilvl w:val="0"/>
          <w:numId w:val="2"/>
        </w:numPr>
        <w:spacing w:after="80" w:before="60" w:line="276"/>
      </w:pPr>
      <w:r>
        <w:rPr>
          <w:rFonts w:ascii="Arial" w:cs="Arial" w:eastAsia="Arial" w:hAnsi="Arial"/>
          <w:color w:val="000000"/>
          <w:sz w:val="22"/>
          <w:szCs w:val="22"/>
        </w:rPr>
        <w:t xml:space="preserve">La persona participa activamente en la selección de su vivienda: puede rechazar una propuesta si el barrio, el entorno o las características del piso no le resultan adecuados. El equipo busca alternativas.</w:t>
      </w:r>
    </w:p>
    <w:p>
      <w:pPr>
        <w:pStyle w:val="ListParagraph"/>
        <w:numPr>
          <w:ilvl w:val="0"/>
          <w:numId w:val="2"/>
        </w:numPr>
        <w:spacing w:after="80" w:before="60" w:line="276"/>
      </w:pPr>
      <w:r>
        <w:rPr>
          <w:rFonts w:ascii="Arial" w:cs="Arial" w:eastAsia="Arial" w:hAnsi="Arial"/>
          <w:color w:val="000000"/>
          <w:sz w:val="22"/>
          <w:szCs w:val="22"/>
        </w:rPr>
        <w:t xml:space="preserve">Los objetivos del plan de trabajo se negocian y acuerdan con la persona. El equipo no impone objetivos terapéuticos: propone, acompaña y trabaja con lo que la persona quiere conseguir.</w:t>
      </w:r>
    </w:p>
    <w:p>
      <w:pPr>
        <w:pStyle w:val="ListParagraph"/>
        <w:numPr>
          <w:ilvl w:val="0"/>
          <w:numId w:val="2"/>
        </w:numPr>
        <w:spacing w:after="80" w:before="60" w:line="276"/>
      </w:pPr>
      <w:r>
        <w:rPr>
          <w:rFonts w:ascii="Arial" w:cs="Arial" w:eastAsia="Arial" w:hAnsi="Arial"/>
          <w:color w:val="000000"/>
          <w:sz w:val="22"/>
          <w:szCs w:val="22"/>
        </w:rPr>
        <w:t xml:space="preserve">La persona puede pedir más apoyo o menos apoyo en cualquier momento. La intensidad de la intervención se ajusta a la demanda real, no a un protocolo fijo.</w:t>
      </w:r>
    </w:p>
    <w:p>
      <w:pPr>
        <w:pStyle w:val="ListParagraph"/>
        <w:numPr>
          <w:ilvl w:val="0"/>
          <w:numId w:val="2"/>
        </w:numPr>
        <w:spacing w:after="80" w:before="60" w:line="276"/>
      </w:pPr>
      <w:r>
        <w:rPr>
          <w:rFonts w:ascii="Arial" w:cs="Arial" w:eastAsia="Arial" w:hAnsi="Arial"/>
          <w:color w:val="000000"/>
          <w:sz w:val="22"/>
          <w:szCs w:val="22"/>
        </w:rPr>
        <w:t xml:space="preserve">Cuando la persona toma una decisión que el equipo considera inadecuada o de riesgo, el rol del profesional es informar, reflexionar conjuntamente y acompañar la consecuencia. No es bloquear ni sancionar.</w:t>
      </w:r>
    </w:p>
    <w:p>
      <w:pPr>
        <w:pStyle w:val="Heading1"/>
        <w:pageBreakBefore/>
        <w:spacing w:after="240" w:before="0"/>
      </w:pPr>
      <w:r>
        <w:rPr>
          <w:rFonts w:ascii="Arial" w:cs="Arial" w:eastAsia="Arial" w:hAnsi="Arial"/>
          <w:b/>
          <w:bCs/>
          <w:color w:val="FFFFFF"/>
          <w:sz w:val="32"/>
          <w:szCs w:val="32"/>
        </w:rPr>
        <w:t xml:space="preserve">MÓDULO 7: REDUCCIÓN DE DAÑOS Y MODELO DE RECUPERACIÓN</w:t>
      </w:r>
    </w:p>
    <w:p>
      <w:pPr>
        <w:pStyle w:val="Heading2"/>
        <w:spacing w:after="160" w:before="280"/>
      </w:pPr>
      <w:r>
        <w:rPr>
          <w:rFonts w:ascii="Arial" w:cs="Arial" w:eastAsia="Arial" w:hAnsi="Arial"/>
          <w:b/>
          <w:bCs/>
          <w:color w:val="1F4E79"/>
          <w:sz w:val="26"/>
          <w:szCs w:val="26"/>
        </w:rPr>
        <w:t xml:space="preserve">7.1. Reducción de Daños: Marco Conceptual</w:t>
      </w:r>
    </w:p>
    <w:p>
      <w:pPr>
        <w:spacing w:after="140" w:before="80" w:line="276"/>
        <w:jc w:val="both"/>
      </w:pPr>
      <w:r>
        <w:rPr>
          <w:rFonts w:ascii="Arial" w:cs="Arial" w:eastAsia="Arial" w:hAnsi="Arial"/>
          <w:b w:val="false"/>
          <w:bCs w:val="false"/>
          <w:i w:val="false"/>
          <w:iCs w:val="false"/>
          <w:color w:val="000000"/>
          <w:sz w:val="22"/>
          <w:szCs w:val="22"/>
        </w:rPr>
        <w:t xml:space="preserve">La reducción de daños (harm reduction) es una filosofía y conjunto de intervenciones que busca minimizar las consecuencias negativas asociadas al consumo de sustancias, sin exigir como condición previa la abstinencia. Surgida en los años ochenta en Europa en respuesta a la epidemia de VIH/SIDA entre personas usuarias de drogas por vía intravenosa, se ha consolidado como el paradigma de intervención en adicciones más coherente con los derechos humanos y con la evidencia científica disponible.</w:t>
      </w:r>
    </w:p>
    <w:p>
      <w:pPr>
        <w:spacing w:after="140" w:before="80" w:line="276"/>
        <w:jc w:val="both"/>
      </w:pPr>
      <w:r>
        <w:rPr>
          <w:rFonts w:ascii="Arial" w:cs="Arial" w:eastAsia="Arial" w:hAnsi="Arial"/>
          <w:b w:val="false"/>
          <w:bCs w:val="false"/>
          <w:i w:val="false"/>
          <w:iCs w:val="false"/>
          <w:color w:val="000000"/>
          <w:sz w:val="22"/>
          <w:szCs w:val="22"/>
        </w:rPr>
        <w:t xml:space="preserve">En el contexto del Housing First, la reducción de daños no es solo una herramienta de intervención en adicciones: es una expresión directa de los principios de respeto, incondicionalidad y autodeterminación. Aceptar que la persona siga consumiendo sin perder su vivienda, y trabajar para que ese consumo sea lo menos dañino posible, es Housing First aplicado al campo de las adicciones.</w:t>
      </w:r>
    </w:p>
    <w:p>
      <w:pPr>
        <w:pStyle w:val="Heading2"/>
        <w:spacing w:after="160" w:before="280"/>
      </w:pPr>
      <w:r>
        <w:rPr>
          <w:rFonts w:ascii="Arial" w:cs="Arial" w:eastAsia="Arial" w:hAnsi="Arial"/>
          <w:b/>
          <w:bCs/>
          <w:color w:val="1F4E79"/>
          <w:sz w:val="26"/>
          <w:szCs w:val="26"/>
        </w:rPr>
        <w:t xml:space="preserve">7.2. Fundamentos de la Reducción de Daños</w:t>
      </w:r>
    </w:p>
    <w:p>
      <w:pPr>
        <w:pStyle w:val="Heading3"/>
        <w:spacing w:after="120" w:before="200"/>
      </w:pPr>
      <w:r>
        <w:rPr>
          <w:rFonts w:ascii="Arial" w:cs="Arial" w:eastAsia="Arial" w:hAnsi="Arial"/>
          <w:b/>
          <w:bCs/>
          <w:color w:val="2E75B6"/>
          <w:sz w:val="24"/>
          <w:szCs w:val="24"/>
        </w:rPr>
        <w:t xml:space="preserve">Principios Básicos</w:t>
      </w:r>
    </w:p>
    <w:p>
      <w:pPr>
        <w:pStyle w:val="ListParagraph"/>
        <w:numPr>
          <w:ilvl w:val="0"/>
          <w:numId w:val="2"/>
        </w:numPr>
        <w:spacing w:after="80" w:before="60" w:line="276"/>
      </w:pPr>
      <w:r>
        <w:rPr>
          <w:rFonts w:ascii="Arial" w:cs="Arial" w:eastAsia="Arial" w:hAnsi="Arial"/>
          <w:color w:val="000000"/>
          <w:sz w:val="22"/>
          <w:szCs w:val="22"/>
        </w:rPr>
        <w:t xml:space="preserve">Aceptación de la realidad del consumo: No parte del deseo de que la persona deje de consumir, sino de la realidad de que consume. Desde esa realidad, trabaja para reducir los daños asociados.</w:t>
      </w:r>
    </w:p>
    <w:p>
      <w:pPr>
        <w:pStyle w:val="ListParagraph"/>
        <w:numPr>
          <w:ilvl w:val="0"/>
          <w:numId w:val="2"/>
        </w:numPr>
        <w:spacing w:after="80" w:before="60" w:line="276"/>
      </w:pPr>
      <w:r>
        <w:rPr>
          <w:rFonts w:ascii="Arial" w:cs="Arial" w:eastAsia="Arial" w:hAnsi="Arial"/>
          <w:color w:val="000000"/>
          <w:sz w:val="22"/>
          <w:szCs w:val="22"/>
        </w:rPr>
        <w:t xml:space="preserve">No juicio y no estigma: El consumo de sustancias no se aborda como un fracaso moral sino como una conducta con determinantes biológicos, psicológicos y sociales complejos.</w:t>
      </w:r>
    </w:p>
    <w:p>
      <w:pPr>
        <w:pStyle w:val="ListParagraph"/>
        <w:numPr>
          <w:ilvl w:val="0"/>
          <w:numId w:val="2"/>
        </w:numPr>
        <w:spacing w:after="80" w:before="60" w:line="276"/>
      </w:pPr>
      <w:r>
        <w:rPr>
          <w:rFonts w:ascii="Arial" w:cs="Arial" w:eastAsia="Arial" w:hAnsi="Arial"/>
          <w:color w:val="000000"/>
          <w:sz w:val="22"/>
          <w:szCs w:val="22"/>
        </w:rPr>
        <w:t xml:space="preserve">Continuum de intervenciones: Ofrece un espectro de intervenciones que van desde las de mínimo contacto (distribución de material estéril, información) hasta apoyos más intensivos, según la motivación y la situación de cada persona.</w:t>
      </w:r>
    </w:p>
    <w:p>
      <w:pPr>
        <w:pStyle w:val="ListParagraph"/>
        <w:numPr>
          <w:ilvl w:val="0"/>
          <w:numId w:val="2"/>
        </w:numPr>
        <w:spacing w:after="80" w:before="60" w:line="276"/>
      </w:pPr>
      <w:r>
        <w:rPr>
          <w:rFonts w:ascii="Arial" w:cs="Arial" w:eastAsia="Arial" w:hAnsi="Arial"/>
          <w:color w:val="000000"/>
          <w:sz w:val="22"/>
          <w:szCs w:val="22"/>
        </w:rPr>
        <w:t xml:space="preserve">Participación activa de la persona: La persona usuaria es agente activo en la definición de sus objetivos, que pueden incluir la abstinencia, pero también la reducción de la cantidad consumida, el cambio de sustancia, la reducción de la vía de administración o simplemente el mantenimiento del consumo con menos riesgos.</w:t>
      </w:r>
    </w:p>
    <w:p>
      <w:pPr>
        <w:pStyle w:val="ListParagraph"/>
        <w:numPr>
          <w:ilvl w:val="0"/>
          <w:numId w:val="2"/>
        </w:numPr>
        <w:spacing w:after="80" w:before="60" w:line="276"/>
      </w:pPr>
      <w:r>
        <w:rPr>
          <w:rFonts w:ascii="Arial" w:cs="Arial" w:eastAsia="Arial" w:hAnsi="Arial"/>
          <w:color w:val="000000"/>
          <w:sz w:val="22"/>
          <w:szCs w:val="22"/>
        </w:rPr>
        <w:t xml:space="preserve">Priorización de necesidades inmediatas: Se trabaja primero sobre los daños más urgentes (sobredosis, infecciones, desnutrición, violencia) antes que sobre objetivos de cambio a largo plazo.</w:t>
      </w:r>
    </w:p>
    <w:p>
      <w:pPr>
        <w:pStyle w:val="Heading3"/>
        <w:spacing w:after="120" w:before="200"/>
      </w:pPr>
      <w:r>
        <w:rPr>
          <w:rFonts w:ascii="Arial" w:cs="Arial" w:eastAsia="Arial" w:hAnsi="Arial"/>
          <w:b/>
          <w:bCs/>
          <w:color w:val="2E75B6"/>
          <w:sz w:val="24"/>
          <w:szCs w:val="24"/>
        </w:rPr>
        <w:t xml:space="preserve">Intervenciones de Reducción de Daños más Frecuentes en Proyectos HF</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rPr>
          <w:tblHeader/>
        </w:trPr>
        <w:tc>
          <w:tcPr>
            <w:tcW w:type="dxa" w:w="3008"/>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Intervención</w:t>
            </w:r>
          </w:p>
        </w:tc>
        <w:tc>
          <w:tcPr>
            <w:tcW w:type="dxa" w:w="3008"/>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Descripción</w:t>
            </w:r>
          </w:p>
        </w:tc>
        <w:tc>
          <w:tcPr>
            <w:tcW w:type="dxa" w:w="3008"/>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Contexto de aplicación</w:t>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Información sobre uso más seguro</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Información sobre riesgos de cada vía de administración, combinaciones peligrosas, señales de sobredosis y cómo actuar</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Primera fase de acogida y de forma continuada</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Material estéril</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Distribución de jeringuillas, papel de aluminio, filtros, naloxona. Coordinación con programas de intercambio de jeringuillas</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Domicilio y derivación a recursos especializados</w:t>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Naloxona (Narcan)</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Formación en uso de naloxona y provisión de kits a participantes con consumo de opiáceos y a personas de su entorno</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Especialmente relevante en consumo de heroína y fentanilo</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Tratamiento sustitutivo</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Apoyo al mantenimiento con metadona, buprenorfina u otros tratamientos sustitutivos. Coordinación con CAD</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Derivación y acompañamiento a dispositivos especializados</w:t>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Reducción del consumo</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Trabajo motivacional para reducción progresiva de cantidad o frecuencia de consumo, cuando la persona lo desea</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Fase de intervención, cuando la persona plantea el objetivo</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Gestión de recaídas</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Anticipación de situaciones de riesgo, trabajo sobre los factores desencadenantes, plan de respuesta</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Trabajo continuado, especialmente en momentos de crisis</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7.3. El Modelo de Recuperación</w:t>
      </w:r>
    </w:p>
    <w:p>
      <w:pPr>
        <w:spacing w:after="140" w:before="80" w:line="276"/>
        <w:jc w:val="both"/>
      </w:pPr>
      <w:r>
        <w:rPr>
          <w:rFonts w:ascii="Arial" w:cs="Arial" w:eastAsia="Arial" w:hAnsi="Arial"/>
          <w:b w:val="false"/>
          <w:bCs w:val="false"/>
          <w:i w:val="false"/>
          <w:iCs w:val="false"/>
          <w:color w:val="000000"/>
          <w:sz w:val="22"/>
          <w:szCs w:val="22"/>
        </w:rPr>
        <w:t xml:space="preserve">El modelo de recuperación (recovery model) es el marco conceptual que orienta la intervención en salud mental y adicciones dentro del Housing First. Surgido de los movimientos de usuarios de psiquiatría en Estados Unidos y Reino Unido durante los años ochenta y noventa, parte de una premisa radical: las personas con enfermedad mental grave pueden recuperarse y llevar una vida plena y satisfactoria en la comunidad, incluso cuando los síntomas no desaparecen completamente.</w:t>
      </w:r>
    </w:p>
    <w:p>
      <w:pPr>
        <w:spacing w:after="140" w:before="80" w:line="276"/>
        <w:jc w:val="both"/>
      </w:pPr>
      <w:r>
        <w:rPr>
          <w:rFonts w:ascii="Arial" w:cs="Arial" w:eastAsia="Arial" w:hAnsi="Arial"/>
          <w:b w:val="false"/>
          <w:bCs w:val="false"/>
          <w:i w:val="false"/>
          <w:iCs w:val="false"/>
          <w:color w:val="000000"/>
          <w:sz w:val="22"/>
          <w:szCs w:val="22"/>
        </w:rPr>
        <w:t xml:space="preserve">La recuperación en este sentido no equivale a curación clínica. Es un proceso personal de construcción de una vida con sentido, autonomía y participación social, con o sin síntomas residuales. Esta distinción es crucial porque desplaza el foco de la intervención desde la reducción sintomática (objetivo del modelo médico) hacia el apoyo a la vida que la persona quiere vivir.</w:t>
      </w:r>
    </w:p>
    <w:p>
      <w:pPr>
        <w:pStyle w:val="Heading3"/>
        <w:spacing w:after="120" w:before="200"/>
      </w:pPr>
      <w:r>
        <w:rPr>
          <w:rFonts w:ascii="Arial" w:cs="Arial" w:eastAsia="Arial" w:hAnsi="Arial"/>
          <w:b/>
          <w:bCs/>
          <w:color w:val="2E75B6"/>
          <w:sz w:val="24"/>
          <w:szCs w:val="24"/>
        </w:rPr>
        <w:t xml:space="preserve">Dimensiones de la Recuperación</w:t>
      </w:r>
    </w:p>
    <w:p>
      <w:pPr>
        <w:pStyle w:val="ListParagraph"/>
        <w:numPr>
          <w:ilvl w:val="0"/>
          <w:numId w:val="2"/>
        </w:numPr>
        <w:spacing w:after="80" w:before="60" w:line="276"/>
      </w:pPr>
      <w:r>
        <w:rPr>
          <w:rFonts w:ascii="Arial" w:cs="Arial" w:eastAsia="Arial" w:hAnsi="Arial"/>
          <w:color w:val="000000"/>
          <w:sz w:val="22"/>
          <w:szCs w:val="22"/>
        </w:rPr>
        <w:t xml:space="preserve">Esperanza: La persona cree que puede mejorar y tiene expectativas positivas sobre su futuro. El equipo cultiva activamente esta dimensión, especialmente con personas que llevan años en situaciones de cronicidad.</w:t>
      </w:r>
    </w:p>
    <w:p>
      <w:pPr>
        <w:pStyle w:val="ListParagraph"/>
        <w:numPr>
          <w:ilvl w:val="0"/>
          <w:numId w:val="2"/>
        </w:numPr>
        <w:spacing w:after="80" w:before="60" w:line="276"/>
      </w:pPr>
      <w:r>
        <w:rPr>
          <w:rFonts w:ascii="Arial" w:cs="Arial" w:eastAsia="Arial" w:hAnsi="Arial"/>
          <w:color w:val="000000"/>
          <w:sz w:val="22"/>
          <w:szCs w:val="22"/>
        </w:rPr>
        <w:t xml:space="preserve">Identidad: La persona se percibe a sí misma más allá de su diagnóstico y de su trayectoria de exclusión. Recupera o construye una identidad positiva como ciudadano, familiar, trabajador, aficionado.</w:t>
      </w:r>
    </w:p>
    <w:p>
      <w:pPr>
        <w:pStyle w:val="ListParagraph"/>
        <w:numPr>
          <w:ilvl w:val="0"/>
          <w:numId w:val="2"/>
        </w:numPr>
        <w:spacing w:after="80" w:before="60" w:line="276"/>
      </w:pPr>
      <w:r>
        <w:rPr>
          <w:rFonts w:ascii="Arial" w:cs="Arial" w:eastAsia="Arial" w:hAnsi="Arial"/>
          <w:color w:val="000000"/>
          <w:sz w:val="22"/>
          <w:szCs w:val="22"/>
        </w:rPr>
        <w:t xml:space="preserve">Sentido y propósito: La persona tiene metas, proyectos, actividades que le dan sentido. El plan de trabajo del equipo apoya la identificación y consecución de estos elementos.</w:t>
      </w:r>
    </w:p>
    <w:p>
      <w:pPr>
        <w:pStyle w:val="ListParagraph"/>
        <w:numPr>
          <w:ilvl w:val="0"/>
          <w:numId w:val="2"/>
        </w:numPr>
        <w:spacing w:after="80" w:before="60" w:line="276"/>
      </w:pPr>
      <w:r>
        <w:rPr>
          <w:rFonts w:ascii="Arial" w:cs="Arial" w:eastAsia="Arial" w:hAnsi="Arial"/>
          <w:color w:val="000000"/>
          <w:sz w:val="22"/>
          <w:szCs w:val="22"/>
        </w:rPr>
        <w:t xml:space="preserve">Responsabilidad: La persona asume un papel activo y responsable en su propio proceso de recuperación. El equipo facilita pero no sustituye este rol.</w:t>
      </w:r>
    </w:p>
    <w:p>
      <w:pPr>
        <w:pStyle w:val="ListParagraph"/>
        <w:numPr>
          <w:ilvl w:val="0"/>
          <w:numId w:val="2"/>
        </w:numPr>
        <w:spacing w:after="80" w:before="60" w:line="276"/>
      </w:pPr>
      <w:r>
        <w:rPr>
          <w:rFonts w:ascii="Arial" w:cs="Arial" w:eastAsia="Arial" w:hAnsi="Arial"/>
          <w:color w:val="000000"/>
          <w:sz w:val="22"/>
          <w:szCs w:val="22"/>
        </w:rPr>
        <w:t xml:space="preserve">Control: La persona tiene poder sobre las decisiones que afectan a su vida. El equipo trabaja para aumentar progresivamente este control.</w:t>
      </w:r>
    </w:p>
    <w:p>
      <w:pPr>
        <w:pStyle w:val="Heading3"/>
        <w:spacing w:after="120" w:before="200"/>
      </w:pPr>
      <w:r>
        <w:rPr>
          <w:rFonts w:ascii="Arial" w:cs="Arial" w:eastAsia="Arial" w:hAnsi="Arial"/>
          <w:b/>
          <w:bCs/>
          <w:color w:val="2E75B6"/>
          <w:sz w:val="24"/>
          <w:szCs w:val="24"/>
        </w:rPr>
        <w:t xml:space="preserve">Herramienta: La Entrevista Motivacional</w:t>
      </w:r>
    </w:p>
    <w:p>
      <w:pPr>
        <w:spacing w:after="140" w:before="80" w:line="276"/>
        <w:jc w:val="both"/>
      </w:pPr>
      <w:r>
        <w:rPr>
          <w:rFonts w:ascii="Arial" w:cs="Arial" w:eastAsia="Arial" w:hAnsi="Arial"/>
          <w:b w:val="false"/>
          <w:bCs w:val="false"/>
          <w:i w:val="false"/>
          <w:iCs w:val="false"/>
          <w:color w:val="000000"/>
          <w:sz w:val="22"/>
          <w:szCs w:val="22"/>
        </w:rPr>
        <w:t xml:space="preserve">La entrevista motivacional (Miller y Rollnick, 1991) es la herramienta de comunicación terapéutica por excelencia en los proyectos Housing First. Diseñada originalmente para el trabajo con personas con problemas de adicción, se ha demostrado efectiva para trabajar cualquier tipo de ambivalencia ante el cambio.</w:t>
      </w:r>
    </w:p>
    <w:p>
      <w:pPr>
        <w:spacing w:after="140" w:before="80" w:line="276"/>
        <w:jc w:val="both"/>
      </w:pPr>
      <w:r>
        <w:rPr>
          <w:rFonts w:ascii="Arial" w:cs="Arial" w:eastAsia="Arial" w:hAnsi="Arial"/>
          <w:b w:val="false"/>
          <w:bCs w:val="false"/>
          <w:i w:val="false"/>
          <w:iCs w:val="false"/>
          <w:color w:val="000000"/>
          <w:sz w:val="22"/>
          <w:szCs w:val="22"/>
        </w:rPr>
        <w:t xml:space="preserve">Sus cuatro principios básicos son:</w:t>
      </w:r>
    </w:p>
    <w:p>
      <w:pPr>
        <w:pStyle w:val="ListParagraph"/>
        <w:numPr>
          <w:ilvl w:val="0"/>
          <w:numId w:val="2"/>
        </w:numPr>
        <w:spacing w:after="80" w:before="60" w:line="276"/>
      </w:pPr>
      <w:r>
        <w:rPr>
          <w:rFonts w:ascii="Arial" w:cs="Arial" w:eastAsia="Arial" w:hAnsi="Arial"/>
          <w:color w:val="000000"/>
          <w:sz w:val="22"/>
          <w:szCs w:val="22"/>
        </w:rPr>
        <w:t xml:space="preserve">Empatía: Escucha reflexiva, comprensión genuina de la perspectiva de la persona sin juzgar ni valorar.</w:t>
      </w:r>
    </w:p>
    <w:p>
      <w:pPr>
        <w:pStyle w:val="ListParagraph"/>
        <w:numPr>
          <w:ilvl w:val="0"/>
          <w:numId w:val="2"/>
        </w:numPr>
        <w:spacing w:after="80" w:before="60" w:line="276"/>
      </w:pPr>
      <w:r>
        <w:rPr>
          <w:rFonts w:ascii="Arial" w:cs="Arial" w:eastAsia="Arial" w:hAnsi="Arial"/>
          <w:color w:val="000000"/>
          <w:sz w:val="22"/>
          <w:szCs w:val="22"/>
        </w:rPr>
        <w:t xml:space="preserve">Desarrollar la discrepancia: Ayudar a la persona a identificar la distancia entre sus valores y metas y su conducta actual, sin que el profesional lo señale como problema.</w:t>
      </w:r>
    </w:p>
    <w:p>
      <w:pPr>
        <w:pStyle w:val="ListParagraph"/>
        <w:numPr>
          <w:ilvl w:val="0"/>
          <w:numId w:val="2"/>
        </w:numPr>
        <w:spacing w:after="80" w:before="60" w:line="276"/>
      </w:pPr>
      <w:r>
        <w:rPr>
          <w:rFonts w:ascii="Arial" w:cs="Arial" w:eastAsia="Arial" w:hAnsi="Arial"/>
          <w:color w:val="000000"/>
          <w:sz w:val="22"/>
          <w:szCs w:val="22"/>
        </w:rPr>
        <w:t xml:space="preserve">Trabajar con la resistencia: La resistencia al cambio es una parte normal del proceso, no un obstáculo a vencer. Se trabaja con ella, no contra ella.</w:t>
      </w:r>
    </w:p>
    <w:p>
      <w:pPr>
        <w:pStyle w:val="ListParagraph"/>
        <w:numPr>
          <w:ilvl w:val="0"/>
          <w:numId w:val="2"/>
        </w:numPr>
        <w:spacing w:after="80" w:before="60" w:line="276"/>
      </w:pPr>
      <w:r>
        <w:rPr>
          <w:rFonts w:ascii="Arial" w:cs="Arial" w:eastAsia="Arial" w:hAnsi="Arial"/>
          <w:color w:val="000000"/>
          <w:sz w:val="22"/>
          <w:szCs w:val="22"/>
        </w:rPr>
        <w:t xml:space="preserve">Apoyar la autoeficacia: Reforzar la confianza de la persona en su propia capacidad de cambio, con ejemplos de sus propios logros pasados y presentes.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180"/>
              <w:bottom w:type="dxa" w:w="120"/>
              <w:right w:type="dxa" w:w="180"/>
            </w:tcMar>
          </w:tcPr>
          <w:p>
            <w:pPr>
              <w:spacing w:after="80" w:before="0"/>
            </w:pPr>
            <w:r>
              <w:rPr>
                <w:rFonts w:ascii="Arial" w:cs="Arial" w:eastAsia="Arial" w:hAnsi="Arial"/>
                <w:b/>
                <w:bCs/>
                <w:color w:val="1F4E79"/>
                <w:sz w:val="22"/>
                <w:szCs w:val="22"/>
              </w:rPr>
              <w:t xml:space="preserve">APLICACIÓN PRÁCTICA EN LA VISITA DOMICILIARIA</w:t>
            </w:r>
          </w:p>
          <w:p>
            <w:pPr>
              <w:spacing w:after="60" w:before="40" w:line="276"/>
              <w:jc w:val="both"/>
            </w:pPr>
            <w:r>
              <w:rPr>
                <w:rFonts w:ascii="Arial" w:cs="Arial" w:eastAsia="Arial" w:hAnsi="Arial"/>
                <w:color w:val="000000"/>
                <w:sz w:val="21"/>
                <w:szCs w:val="21"/>
              </w:rPr>
              <w:t xml:space="preserve">Una de las situaciones más habituales en el trabajo con personas participantes en programas Housing First es la visita a un domicilio en el que hay señales evidentes de consumo activo (botellas de alcohol, material de inyección, presencia de otras personas bajo los efectos de sustancias). La respuesta desde la entrevista motivacional y la reducción de daños es radicalmente distinta a la respuesta desde el modelo convencional:</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NO se señala el consumo como problema ni se interroga sobre él de forma acusatoria. SÍ se pregunta por el estado de la persona, su bienestar, sus necesidades inmediatas. Se verifica que dispone de material estéril si corresponde. Se trabaja cualquier objetivo que la persona plantee en esa visita. Se registra la observación de forma objetiva y neutra, sin juicio valorativo. La relación de confianza es el activo más valioso del proyecto: protegerla es prioritario.</w:t>
            </w:r>
          </w:p>
        </w:tc>
      </w:tr>
    </w:tbl>
    <w:p>
      <w:pPr>
        <w:spacing w:after="120" w:before="120"/>
      </w:pPr>
      <w:r>
        <w:t xml:space="preserve"/>
      </w:r>
    </w:p>
    <w:p>
      <w:pPr>
        <w:pStyle w:val="Heading1"/>
        <w:pageBreakBefore/>
        <w:spacing w:after="240" w:before="0"/>
      </w:pPr>
      <w:r>
        <w:rPr>
          <w:rFonts w:ascii="Arial" w:cs="Arial" w:eastAsia="Arial" w:hAnsi="Arial"/>
          <w:b/>
          <w:bCs/>
          <w:color w:val="FFFFFF"/>
          <w:sz w:val="32"/>
          <w:szCs w:val="32"/>
        </w:rPr>
        <w:t xml:space="preserve">MÓDULO 8: PERFIL DE BENEFICIARIOS Y CRITERIOS DE ACCESO</w:t>
      </w:r>
    </w:p>
    <w:p>
      <w:pPr>
        <w:pStyle w:val="Heading2"/>
        <w:spacing w:after="160" w:before="280"/>
      </w:pPr>
      <w:r>
        <w:rPr>
          <w:rFonts w:ascii="Arial" w:cs="Arial" w:eastAsia="Arial" w:hAnsi="Arial"/>
          <w:b/>
          <w:bCs/>
          <w:color w:val="1F4E79"/>
          <w:sz w:val="26"/>
          <w:szCs w:val="26"/>
        </w:rPr>
        <w:t xml:space="preserve">8.1. El Perfil del Participante en un Programa Housing First</w:t>
      </w:r>
    </w:p>
    <w:p>
      <w:pPr>
        <w:spacing w:after="140" w:before="80" w:line="276"/>
        <w:jc w:val="both"/>
      </w:pPr>
      <w:r>
        <w:rPr>
          <w:rFonts w:ascii="Arial" w:cs="Arial" w:eastAsia="Arial" w:hAnsi="Arial"/>
          <w:b w:val="false"/>
          <w:bCs w:val="false"/>
          <w:i w:val="false"/>
          <w:iCs w:val="false"/>
          <w:color w:val="000000"/>
          <w:sz w:val="22"/>
          <w:szCs w:val="22"/>
        </w:rPr>
        <w:t xml:space="preserve">El programa Housing First no está diseñado para cualquier persona en situación de dificultad residencial. Se dirige específicamente a las personas con mayor grado de vulnerabilidad y con más dificultades para progresar en el sistema convencional de atención al sinhogarismo. Esta especificidad es deliberada y tiene una justificación tanto ética como técnica.</w:t>
      </w:r>
    </w:p>
    <w:p>
      <w:pPr>
        <w:spacing w:after="140" w:before="80" w:line="276"/>
        <w:jc w:val="both"/>
      </w:pPr>
      <w:r>
        <w:rPr>
          <w:rFonts w:ascii="Arial" w:cs="Arial" w:eastAsia="Arial" w:hAnsi="Arial"/>
          <w:b w:val="false"/>
          <w:bCs w:val="false"/>
          <w:i w:val="false"/>
          <w:iCs w:val="false"/>
          <w:color w:val="000000"/>
          <w:sz w:val="22"/>
          <w:szCs w:val="22"/>
        </w:rPr>
        <w:t xml:space="preserve">Desde el punto de vista ético, el Housing First prioriza a quienes el sistema ha fallado de forma más consistente y a quienes las soluciones convencionales no ofrecen alternativas reales. Desde el punto de vista técnico, los criterios de elegibilidad determinan el perfil real de personas que acceden al programa y, por tanto, el tipo de apoyos que el equipo debe estar preparado para ofrecer.</w:t>
      </w:r>
    </w:p>
    <w:p>
      <w:pPr>
        <w:pStyle w:val="Heading2"/>
        <w:spacing w:after="160" w:before="280"/>
      </w:pPr>
      <w:r>
        <w:rPr>
          <w:rFonts w:ascii="Arial" w:cs="Arial" w:eastAsia="Arial" w:hAnsi="Arial"/>
          <w:b/>
          <w:bCs/>
          <w:color w:val="1F4E79"/>
          <w:sz w:val="26"/>
          <w:szCs w:val="26"/>
        </w:rPr>
        <w:t xml:space="preserve">8.2. Criterios de Elegibilidad</w:t>
      </w:r>
    </w:p>
    <w:p>
      <w:pPr>
        <w:pStyle w:val="Heading3"/>
        <w:spacing w:after="120" w:before="200"/>
      </w:pPr>
      <w:r>
        <w:rPr>
          <w:rFonts w:ascii="Arial" w:cs="Arial" w:eastAsia="Arial" w:hAnsi="Arial"/>
          <w:b/>
          <w:bCs/>
          <w:color w:val="2E75B6"/>
          <w:sz w:val="24"/>
          <w:szCs w:val="24"/>
        </w:rPr>
        <w:t xml:space="preserve">Criterios de Inclusión</w:t>
      </w:r>
    </w:p>
    <w:p>
      <w:pPr>
        <w:spacing w:after="140" w:before="80" w:line="276"/>
        <w:jc w:val="both"/>
      </w:pPr>
      <w:r>
        <w:rPr>
          <w:rFonts w:ascii="Arial" w:cs="Arial" w:eastAsia="Arial" w:hAnsi="Arial"/>
          <w:b w:val="false"/>
          <w:bCs w:val="false"/>
          <w:i w:val="false"/>
          <w:iCs w:val="false"/>
          <w:color w:val="000000"/>
          <w:sz w:val="22"/>
          <w:szCs w:val="22"/>
        </w:rPr>
        <w:t xml:space="preserve">Para acceder a un programa Housing First en el modelo clásico, la persona debe cumplir todos los siguientes criterios:</w:t>
      </w:r>
    </w:p>
    <w:p>
      <w:pPr>
        <w:pStyle w:val="ListParagraph"/>
        <w:numPr>
          <w:ilvl w:val="0"/>
          <w:numId w:val="3"/>
        </w:numPr>
        <w:spacing w:after="80" w:before="60" w:line="276"/>
      </w:pPr>
      <w:r>
        <w:rPr>
          <w:rFonts w:ascii="Arial" w:cs="Arial" w:eastAsia="Arial" w:hAnsi="Arial"/>
          <w:color w:val="000000"/>
          <w:sz w:val="22"/>
          <w:szCs w:val="22"/>
        </w:rPr>
        <w:t xml:space="preserve">Ser mayor de 18 años.</w:t>
      </w:r>
    </w:p>
    <w:p>
      <w:pPr>
        <w:pStyle w:val="ListParagraph"/>
        <w:numPr>
          <w:ilvl w:val="0"/>
          <w:numId w:val="3"/>
        </w:numPr>
        <w:spacing w:after="80" w:before="60" w:line="276"/>
      </w:pPr>
      <w:r>
        <w:rPr>
          <w:rFonts w:ascii="Arial" w:cs="Arial" w:eastAsia="Arial" w:hAnsi="Arial"/>
          <w:color w:val="000000"/>
          <w:sz w:val="22"/>
          <w:szCs w:val="22"/>
        </w:rPr>
        <w:t xml:space="preserve">Encontrarse en situación sin techo o de emergencia, correspondiente a las categorías 1 o 2 de la tipología ETHOS: pernoctación en espacio público o exterior, o en albergue de emergencia.</w:t>
      </w:r>
    </w:p>
    <w:p>
      <w:pPr>
        <w:pStyle w:val="ListParagraph"/>
        <w:numPr>
          <w:ilvl w:val="0"/>
          <w:numId w:val="3"/>
        </w:numPr>
        <w:spacing w:after="80" w:before="60" w:line="276"/>
      </w:pPr>
      <w:r>
        <w:rPr>
          <w:rFonts w:ascii="Arial" w:cs="Arial" w:eastAsia="Arial" w:hAnsi="Arial"/>
          <w:color w:val="000000"/>
          <w:sz w:val="22"/>
          <w:szCs w:val="22"/>
        </w:rPr>
        <w:t xml:space="preserve">Acreditar una trayectoria prolongada de sinhogarismo, que puede darse en cualquiera de estas dos formas: trayectoria acumulada mínima de tres años en situación ETHOS 1, 2 o 3; o pernoctación continua de más de un año en espacio público (ETHOS 1) o en albergue de emergencia (ETHOS 2).</w:t>
      </w:r>
    </w:p>
    <w:p>
      <w:pPr>
        <w:pStyle w:val="ListParagraph"/>
        <w:numPr>
          <w:ilvl w:val="0"/>
          <w:numId w:val="3"/>
        </w:numPr>
        <w:spacing w:after="80" w:before="60" w:line="276"/>
      </w:pPr>
      <w:r>
        <w:rPr>
          <w:rFonts w:ascii="Arial" w:cs="Arial" w:eastAsia="Arial" w:hAnsi="Arial"/>
          <w:color w:val="000000"/>
          <w:sz w:val="22"/>
          <w:szCs w:val="22"/>
        </w:rPr>
        <w:t xml:space="preserve">Presentar una o varias de las siguientes circunstancias de alta vulnerabilidad: diagnóstico activo de trastorno mental grave, trastorno por uso de sustancias (adicción activa), o discapacidad reconocida o en proceso de reconocimiento.</w:t>
      </w:r>
    </w:p>
    <w:p>
      <w:pPr>
        <w:pStyle w:val="ListParagraph"/>
        <w:numPr>
          <w:ilvl w:val="0"/>
          <w:numId w:val="3"/>
        </w:numPr>
        <w:spacing w:after="80" w:before="60" w:line="276"/>
      </w:pPr>
      <w:r>
        <w:rPr>
          <w:rFonts w:ascii="Arial" w:cs="Arial" w:eastAsia="Arial" w:hAnsi="Arial"/>
          <w:color w:val="000000"/>
          <w:sz w:val="22"/>
          <w:szCs w:val="22"/>
        </w:rPr>
        <w:t xml:space="preserve">Expresar voluntad de vivir en una vivienda y capacidad mínima de convivencia en entorno normalizado, entendida no como ausencia de problemas sino como ausencia de conductas que hagan inviable la convivencia en bloque residencial (por ejemplo, conductas gravemente violentas sin control).</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180"/>
              <w:bottom w:type="dxa" w:w="120"/>
              <w:right w:type="dxa" w:w="180"/>
            </w:tcMar>
          </w:tcPr>
          <w:p>
            <w:pPr>
              <w:spacing w:after="80" w:before="0"/>
            </w:pPr>
            <w:r>
              <w:rPr>
                <w:rFonts w:ascii="Arial" w:cs="Arial" w:eastAsia="Arial" w:hAnsi="Arial"/>
                <w:b/>
                <w:bCs/>
                <w:color w:val="1F4E79"/>
                <w:sz w:val="22"/>
                <w:szCs w:val="22"/>
              </w:rPr>
              <w:t xml:space="preserve">SOBRE LA VOLUNTARIEDAD</w:t>
            </w:r>
          </w:p>
          <w:p>
            <w:pPr>
              <w:spacing w:after="60" w:before="40" w:line="276"/>
              <w:jc w:val="both"/>
            </w:pPr>
            <w:r>
              <w:rPr>
                <w:rFonts w:ascii="Arial" w:cs="Arial" w:eastAsia="Arial" w:hAnsi="Arial"/>
                <w:color w:val="000000"/>
                <w:sz w:val="21"/>
                <w:szCs w:val="21"/>
              </w:rPr>
              <w:t xml:space="preserve">El criterio de voluntariedad es uno de los elementos que más debate genera en la implementación del Housing First. La formulación adecuada no es 'que la persona quiera participar en el programa', sino 'que la persona quiera vivir en una vivienda'. Esta distinción es importante porque muchas personas con larga trayectoria de sinhogarismo han desarrollado una desconfianza profunda hacia cualquier programa social y pueden rechazar el programa en una primera aproximación.</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La experiencia práctica muestra que un trabajo de sensibilización previo, realizado con paciencia y sin presión, convierte en potenciales participantes a personas que en un primer momento habían rechazado la propuesta. La clave está en separar la vivienda (que casi ninguna persona rechaza) del programa (que puede generar resistencias).</w:t>
            </w:r>
          </w:p>
        </w:tc>
      </w:tr>
    </w:tbl>
    <w:p>
      <w:pPr>
        <w:spacing w:after="120" w:before="120"/>
      </w:pPr>
      <w:r>
        <w:t xml:space="preserve"/>
      </w:r>
    </w:p>
    <w:p>
      <w:pPr>
        <w:pStyle w:val="Heading3"/>
        <w:spacing w:after="120" w:before="200"/>
      </w:pPr>
      <w:r>
        <w:rPr>
          <w:rFonts w:ascii="Arial" w:cs="Arial" w:eastAsia="Arial" w:hAnsi="Arial"/>
          <w:b/>
          <w:bCs/>
          <w:color w:val="2E75B6"/>
          <w:sz w:val="24"/>
          <w:szCs w:val="24"/>
        </w:rPr>
        <w:t xml:space="preserve">Criterios de Exclusión</w:t>
      </w:r>
    </w:p>
    <w:p>
      <w:pPr>
        <w:spacing w:after="140" w:before="80" w:line="276"/>
        <w:jc w:val="both"/>
      </w:pPr>
      <w:r>
        <w:rPr>
          <w:rFonts w:ascii="Arial" w:cs="Arial" w:eastAsia="Arial" w:hAnsi="Arial"/>
          <w:b w:val="false"/>
          <w:bCs w:val="false"/>
          <w:i w:val="false"/>
          <w:iCs w:val="false"/>
          <w:color w:val="000000"/>
          <w:sz w:val="22"/>
          <w:szCs w:val="22"/>
        </w:rPr>
        <w:t xml:space="preserve">Son escasos y están relacionados exclusivamente con la imposibilidad de mantener una convivencia mínima en entorno comunitario:</w:t>
      </w:r>
    </w:p>
    <w:p>
      <w:pPr>
        <w:pStyle w:val="ListParagraph"/>
        <w:numPr>
          <w:ilvl w:val="0"/>
          <w:numId w:val="2"/>
        </w:numPr>
        <w:spacing w:after="80" w:before="60" w:line="276"/>
      </w:pPr>
      <w:r>
        <w:rPr>
          <w:rFonts w:ascii="Arial" w:cs="Arial" w:eastAsia="Arial" w:hAnsi="Arial"/>
          <w:color w:val="000000"/>
          <w:sz w:val="22"/>
          <w:szCs w:val="22"/>
        </w:rPr>
        <w:t xml:space="preserve">Conducta violenta grave e incontrolada que haya dado lugar a detenciones recientes y que no esté en proceso de tratamiento.</w:t>
      </w:r>
    </w:p>
    <w:p>
      <w:pPr>
        <w:pStyle w:val="ListParagraph"/>
        <w:numPr>
          <w:ilvl w:val="0"/>
          <w:numId w:val="2"/>
        </w:numPr>
        <w:spacing w:after="80" w:before="60" w:line="276"/>
      </w:pPr>
      <w:r>
        <w:rPr>
          <w:rFonts w:ascii="Arial" w:cs="Arial" w:eastAsia="Arial" w:hAnsi="Arial"/>
          <w:color w:val="000000"/>
          <w:sz w:val="22"/>
          <w:szCs w:val="22"/>
        </w:rPr>
        <w:t xml:space="preserve">Situación legal que impida de forma objetiva el acceso a una vivienda (por ejemplo, orden de alejamiento de zonas geográficas concretas que haga inviable el alojamiento en determinados municipios).</w:t>
      </w:r>
    </w:p>
    <w:p>
      <w:pPr>
        <w:pStyle w:val="ListParagraph"/>
        <w:numPr>
          <w:ilvl w:val="0"/>
          <w:numId w:val="2"/>
        </w:numPr>
        <w:spacing w:after="80" w:before="60" w:line="276"/>
      </w:pPr>
      <w:r>
        <w:rPr>
          <w:rFonts w:ascii="Arial" w:cs="Arial" w:eastAsia="Arial" w:hAnsi="Arial"/>
          <w:color w:val="000000"/>
          <w:sz w:val="22"/>
          <w:szCs w:val="22"/>
        </w:rPr>
        <w:t xml:space="preserve">En algunos programas con financiación europea vinculada a resultados de empleabilidad: criterios adicionales de edad o situación administrativa, según la convocatoria específica.</w:t>
      </w:r>
    </w:p>
    <w:p>
      <w:pPr>
        <w:spacing w:after="140" w:before="80" w:line="276"/>
        <w:jc w:val="both"/>
      </w:pPr>
      <w:r>
        <w:rPr>
          <w:rFonts w:ascii="Arial" w:cs="Arial" w:eastAsia="Arial" w:hAnsi="Arial"/>
          <w:b w:val="false"/>
          <w:bCs w:val="false"/>
          <w:i w:val="false"/>
          <w:iCs w:val="false"/>
          <w:color w:val="000000"/>
          <w:sz w:val="22"/>
          <w:szCs w:val="22"/>
        </w:rPr>
        <w:t xml:space="preserve">No son criterios de exclusión: el consumo activo de sustancias, la ausencia de tratamiento psiquiátrico, la irregularidad administrativa, los antecedentes penales, la falta de documentación, la ausencia de ingresos, ni la falta de motivación declarada para el cambio.</w:t>
      </w:r>
    </w:p>
    <w:p>
      <w:pPr>
        <w:pStyle w:val="Heading2"/>
        <w:spacing w:after="160" w:before="280"/>
      </w:pPr>
      <w:r>
        <w:rPr>
          <w:rFonts w:ascii="Arial" w:cs="Arial" w:eastAsia="Arial" w:hAnsi="Arial"/>
          <w:b/>
          <w:bCs/>
          <w:color w:val="1F4E79"/>
          <w:sz w:val="26"/>
          <w:szCs w:val="26"/>
        </w:rPr>
        <w:t xml:space="preserve">8.3. Proceso de Derivación y Selección</w:t>
      </w:r>
    </w:p>
    <w:p>
      <w:pPr>
        <w:spacing w:after="140" w:before="80" w:line="276"/>
        <w:jc w:val="both"/>
      </w:pPr>
      <w:r>
        <w:rPr>
          <w:rFonts w:ascii="Arial" w:cs="Arial" w:eastAsia="Arial" w:hAnsi="Arial"/>
          <w:b w:val="false"/>
          <w:bCs w:val="false"/>
          <w:i w:val="false"/>
          <w:iCs w:val="false"/>
          <w:color w:val="000000"/>
          <w:sz w:val="22"/>
          <w:szCs w:val="22"/>
        </w:rPr>
        <w:t xml:space="preserve">En los programas Housing First con evaluación científica, la selección de participantes sigue un protocolo riguroso que garantiza que las personas que acceden al programa son realmente las que cumplen los criterios de elegibilidad y que la asignación entre el grupo de intervención y el grupo de control se realiza de forma aleatoria.</w:t>
      </w:r>
    </w:p>
    <w:p>
      <w:pPr>
        <w:pStyle w:val="Heading3"/>
        <w:spacing w:after="120" w:before="200"/>
      </w:pPr>
      <w:r>
        <w:rPr>
          <w:rFonts w:ascii="Arial" w:cs="Arial" w:eastAsia="Arial" w:hAnsi="Arial"/>
          <w:b/>
          <w:bCs/>
          <w:color w:val="2E75B6"/>
          <w:sz w:val="24"/>
          <w:szCs w:val="24"/>
        </w:rPr>
        <w:t xml:space="preserve">Fases del Proceso de Selección</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2400"/>
        <w:gridCol w:w="5226"/>
      </w:tblGrid>
      <w:tr>
        <w:trPr>
          <w:tblHeader/>
        </w:trPr>
        <w:tc>
          <w:tcPr>
            <w:tcW w:type="dxa" w:w="1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Fase</w:t>
            </w:r>
          </w:p>
        </w:tc>
        <w:tc>
          <w:tcPr>
            <w:tcW w:type="dxa" w:w="2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Responsable</w:t>
            </w:r>
          </w:p>
        </w:tc>
        <w:tc>
          <w:tcPr>
            <w:tcW w:type="dxa" w:w="52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Descripción</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1. Identificación de candidatos</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Entidades colaboradoras, Servicios Sociales, equipos de calle</w:t>
            </w:r>
          </w:p>
        </w:tc>
        <w:tc>
          <w:tcPr>
            <w:tcW w:type="dxa" w:w="52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Los servicios que trabajan con personas sin hogar identifican a personas que podrían cumplir los criterios de elegibilidad y las presentan al equipo del programa.</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2. Primera valoración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Técnico de intervención / Trabajador social del programa</w:t>
            </w:r>
          </w:p>
        </w:tc>
        <w:tc>
          <w:tcPr>
            <w:tcW w:type="dxa" w:w="5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Entrevista inicial para verificar el cumplimiento de los criterios de inclusión y exclusión. Se recoge información sobre trayectoria vital, situación de salud, contexto social y motivación.</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3. Consentimiento informado</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Técnico de intervención + Persona candidata</w:t>
            </w:r>
          </w:p>
        </w:tc>
        <w:tc>
          <w:tcPr>
            <w:tcW w:type="dxa" w:w="52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Explicación detallada del programa, sus condiciones, derechos y obligaciones. La persona firma el consentimiento informado para participar en el programa y, en su caso, en la evaluación.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4. Evaluación de línea de base (baseline)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Equipo de evaluación</w:t>
            </w:r>
          </w:p>
        </w:tc>
        <w:tc>
          <w:tcPr>
            <w:tcW w:type="dxa" w:w="5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Aplicación de los instrumentos de evaluación de línea de base: GHQ, EuropASI, cuestionario de trayectoria vital, cuestionario socioeconómico, etc. Se realiza antes de la asignación aleatoria.</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5. Asignación</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Algoritmo de asignación / Coordinador</w:t>
            </w:r>
          </w:p>
        </w:tc>
        <w:tc>
          <w:tcPr>
            <w:tcW w:type="dxa" w:w="52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En programas con evaluación experimental: asignación aleatoria al grupo HF o grupo de control. En programas sin evaluación experimental: asignación directa al programa.</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6. Inicio del proceso de alojamiento</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Técnico de alojamiento + Técnico de intervención</w:t>
            </w:r>
          </w:p>
        </w:tc>
        <w:tc>
          <w:tcPr>
            <w:tcW w:type="dxa" w:w="5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Una vez asignada al grupo HF, se inicia inmediatamente el proceso de búsqueda de vivienda adaptada al perfil y preferencias de la persona.</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8.4. El Perfil Sociológico Real: Lo que los Datos Muestran</w:t>
      </w:r>
    </w:p>
    <w:p>
      <w:pPr>
        <w:spacing w:after="140" w:before="80" w:line="276"/>
        <w:jc w:val="both"/>
      </w:pPr>
      <w:r>
        <w:rPr>
          <w:rFonts w:ascii="Arial" w:cs="Arial" w:eastAsia="Arial" w:hAnsi="Arial"/>
          <w:b w:val="false"/>
          <w:bCs w:val="false"/>
          <w:i w:val="false"/>
          <w:iCs w:val="false"/>
          <w:color w:val="000000"/>
          <w:sz w:val="22"/>
          <w:szCs w:val="22"/>
        </w:rPr>
        <w:t xml:space="preserve">Los datos de los programas Housing First desarrollados en distintos territorios ofrecen una imagen detallada del perfil real de las personas participantes. Conocer este perfil es esencial para el equipo, porque determina el tipo de necesidades de apoyo que se van a encontrar y la complejidad de las situaciones con las que deberán trabajar.</w:t>
      </w:r>
    </w:p>
    <w:p>
      <w:pPr>
        <w:pStyle w:val="Heading3"/>
        <w:spacing w:after="120" w:before="200"/>
      </w:pPr>
      <w:r>
        <w:rPr>
          <w:rFonts w:ascii="Arial" w:cs="Arial" w:eastAsia="Arial" w:hAnsi="Arial"/>
          <w:b/>
          <w:bCs/>
          <w:color w:val="2E75B6"/>
          <w:sz w:val="24"/>
          <w:szCs w:val="24"/>
        </w:rPr>
        <w:t xml:space="preserve">Características Sociodemográficas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Variable</w:t>
            </w:r>
          </w:p>
        </w:tc>
        <w:tc>
          <w:tcPr>
            <w:tcW w:type="dxa" w:w="4513"/>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Rango observado en proyectos HF españoles</w:t>
            </w:r>
          </w:p>
        </w:tc>
      </w:tr>
      <w:tr>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Edad media</w:t>
            </w:r>
          </w:p>
        </w:tc>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44-51 años. Amplia variabilidad: desde menores de 30 hasta mayores de 65</w:t>
            </w:r>
          </w:p>
        </w:tc>
      </w:tr>
      <w:tr>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Sexo</w:t>
            </w:r>
          </w:p>
        </w:tc>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70-85% varones. Las mujeres representan un porcentaje menor pero con perfil de vulnerabilidad frecuentemente mayor</w:t>
            </w:r>
          </w:p>
        </w:tc>
      </w:tr>
      <w:tr>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Nacionalidad</w:t>
            </w:r>
          </w:p>
        </w:tc>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50-70% española. 30-50% extranjeros, con alta proporción de personas de origen latinoamericano, magrebí y subsahariano</w:t>
            </w:r>
          </w:p>
        </w:tc>
      </w:tr>
      <w:tr>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Nivel educativo</w:t>
            </w:r>
          </w:p>
        </w:tc>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Educación primaria incompleta o completada en 60-70%. Formación secundaria en 20-25%. Universitaria en casos excepcionales (5%)</w:t>
            </w:r>
          </w:p>
        </w:tc>
      </w:tr>
      <w:tr>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Tiempo en sinhogarismo</w:t>
            </w:r>
          </w:p>
        </w:tc>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Media de 7-12 años de trayectoria. Casos de más de 20 años no son infrecuentes</w:t>
            </w:r>
          </w:p>
        </w:tc>
      </w:tr>
      <w:tr>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Situación administrativa</w:t>
            </w:r>
          </w:p>
        </w:tc>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En personas extranjeras: 30-50% con situación irregular o en trámite de regularización en el momento de acceso</w:t>
            </w:r>
          </w:p>
        </w:tc>
      </w:tr>
    </w:tbl>
    <w:p>
      <w:pPr>
        <w:spacing w:after="120" w:before="120"/>
      </w:pPr>
      <w:r>
        <w:t xml:space="preserve"/>
      </w:r>
    </w:p>
    <w:p>
      <w:pPr>
        <w:pStyle w:val="Heading3"/>
        <w:spacing w:after="120" w:before="200"/>
      </w:pPr>
      <w:r>
        <w:rPr>
          <w:rFonts w:ascii="Arial" w:cs="Arial" w:eastAsia="Arial" w:hAnsi="Arial"/>
          <w:b/>
          <w:bCs/>
          <w:color w:val="2E75B6"/>
          <w:sz w:val="24"/>
          <w:szCs w:val="24"/>
        </w:rPr>
        <w:t xml:space="preserve">Características de Salud</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Dimensión de salud</w:t>
            </w:r>
          </w:p>
        </w:tc>
        <w:tc>
          <w:tcPr>
            <w:tcW w:type="dxa" w:w="4513"/>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Prevalencia en participantes HF</w:t>
            </w:r>
          </w:p>
        </w:tc>
      </w:tr>
      <w:tr>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Diagnóstico de trastorno mental</w:t>
            </w:r>
          </w:p>
        </w:tc>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60-75%. Diagnósticos más frecuentes: esquizofrenia, trastorno esquizoafectivo, trastorno bipolar, depresión mayor recurrente, TPB, trastorno de personalidad NOS</w:t>
            </w:r>
          </w:p>
        </w:tc>
      </w:tr>
      <w:tr>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Trastorno por uso de sustancias</w:t>
            </w:r>
          </w:p>
        </w:tc>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65-80% con consumo activo en el momento de acceso. Alcohol: principal sustancia (50-60%). Cannabis, heroína, cocaína y benzodiacepinas también frecuentes</w:t>
            </w:r>
          </w:p>
        </w:tc>
      </w:tr>
      <w:tr>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Patología dual</w:t>
            </w:r>
          </w:p>
        </w:tc>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50-65% presenta diagnóstico simultáneo de trastorno mental y trastorno por uso de sustancias (patología dual)</w:t>
            </w:r>
          </w:p>
        </w:tc>
      </w:tr>
      <w:tr>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Estado físico general</w:t>
            </w:r>
          </w:p>
        </w:tc>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Alta prevalencia de enfermedades crónicas: hepatitis C (30-50%), VIH (5-15%), tuberculosis latente, enfermedades cardiovasculares, diabetes, enfermedades respiratorias crónicas</w:t>
            </w:r>
          </w:p>
        </w:tc>
      </w:tr>
      <w:tr>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Acceso a atención sanitaria</w:t>
            </w:r>
          </w:p>
        </w:tc>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En el momento de acceso al programa: 40-60% sin médico de cabecera activo, 30-50% sin tarjeta sanitaria en vigor</w:t>
            </w:r>
          </w:p>
        </w:tc>
      </w:tr>
      <w:tr>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Discapacidad reconocida</w:t>
            </w:r>
          </w:p>
        </w:tc>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15-30% con reconocimiento vigente. Porcentaje mayor con condición elegible pero sin reconocimiento administrativo</w:t>
            </w:r>
          </w:p>
        </w:tc>
      </w:tr>
    </w:tbl>
    <w:p>
      <w:pPr>
        <w:spacing w:after="120" w:before="120"/>
      </w:pPr>
      <w:r>
        <w:t xml:space="preserve"/>
      </w:r>
    </w:p>
    <w:p>
      <w:pPr>
        <w:pStyle w:val="Heading3"/>
        <w:spacing w:after="120" w:before="200"/>
      </w:pPr>
      <w:r>
        <w:rPr>
          <w:rFonts w:ascii="Arial" w:cs="Arial" w:eastAsia="Arial" w:hAnsi="Arial"/>
          <w:b/>
          <w:bCs/>
          <w:color w:val="2E75B6"/>
          <w:sz w:val="24"/>
          <w:szCs w:val="24"/>
        </w:rPr>
        <w:t xml:space="preserve">Características de Situación Social y Económica</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Dimensión social/económica</w:t>
            </w:r>
          </w:p>
        </w:tc>
        <w:tc>
          <w:tcPr>
            <w:tcW w:type="dxa" w:w="4513"/>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Perfil predominante en proyectos HF</w:t>
            </w:r>
          </w:p>
        </w:tc>
      </w:tr>
      <w:tr>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Red de apoyo social</w:t>
            </w:r>
          </w:p>
        </w:tc>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Aislamiento severo en 70-80%. Red familiar rota o muy deteriorada. Relaciones sociales reducidas al entorno de calle o de consumo</w:t>
            </w:r>
          </w:p>
        </w:tc>
      </w:tr>
      <w:tr>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Situación económica</w:t>
            </w:r>
          </w:p>
        </w:tc>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Sin ingresos o con prestaciones mínimas en momento de acceso (60-70%). Pensiones contributivas, RMI/RISMI, pensiones no contributivas son los ingresos más frecuentes</w:t>
            </w:r>
          </w:p>
        </w:tc>
      </w:tr>
      <w:tr>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Situación laboral</w:t>
            </w:r>
          </w:p>
        </w:tc>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Desempleo de larga duración en prácticamente el 100%. Ocupación ocasional informal en un porcentaje reducido</w:t>
            </w:r>
          </w:p>
        </w:tc>
      </w:tr>
      <w:tr>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Situación judicial</w:t>
            </w:r>
          </w:p>
        </w:tc>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Antecedentes penales en 30-50%. Procedimientos judiciales activos en 20-35% en el momento de acceso</w:t>
            </w:r>
          </w:p>
        </w:tc>
      </w:tr>
      <w:tr>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Hijos e hijas</w:t>
            </w:r>
          </w:p>
        </w:tc>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20-35% tiene hijos o hijas, mayoritariamente sin custodia o con contacto muy deteriorado</w:t>
            </w:r>
          </w:p>
        </w:tc>
      </w:tr>
      <w:tr>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Vivienda anterior</w:t>
            </w:r>
          </w:p>
        </w:tc>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Historia de pérdidas repetidas de vivienda. En muchos casos, la última pérdida se produjo por desahucio, ruptura familiar o crisis de salud mental</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8.5. Perspectiva de Género en Housing First</w:t>
      </w:r>
    </w:p>
    <w:p>
      <w:pPr>
        <w:spacing w:after="140" w:before="80" w:line="276"/>
        <w:jc w:val="both"/>
      </w:pPr>
      <w:r>
        <w:rPr>
          <w:rFonts w:ascii="Arial" w:cs="Arial" w:eastAsia="Arial" w:hAnsi="Arial"/>
          <w:b w:val="false"/>
          <w:bCs w:val="false"/>
          <w:i w:val="false"/>
          <w:iCs w:val="false"/>
          <w:color w:val="000000"/>
          <w:sz w:val="22"/>
          <w:szCs w:val="22"/>
        </w:rPr>
        <w:t xml:space="preserve">Aunque los hombres constituyen la mayoría de los participantes en programas Housing First, las mujeres en situación de sinhogarismo presentan un perfil de vulnerabilidad con características propias que requieren una atención específica y una perspectiva de género transversal en toda la intervención.</w:t>
      </w:r>
    </w:p>
    <w:p>
      <w:pPr>
        <w:pStyle w:val="Heading3"/>
        <w:spacing w:after="120" w:before="200"/>
      </w:pPr>
      <w:r>
        <w:rPr>
          <w:rFonts w:ascii="Arial" w:cs="Arial" w:eastAsia="Arial" w:hAnsi="Arial"/>
          <w:b/>
          <w:bCs/>
          <w:color w:val="2E75B6"/>
          <w:sz w:val="24"/>
          <w:szCs w:val="24"/>
        </w:rPr>
        <w:t xml:space="preserve">Características Diferenciales del Sinhogarismo Femenino</w:t>
      </w:r>
    </w:p>
    <w:p>
      <w:pPr>
        <w:pStyle w:val="ListParagraph"/>
        <w:numPr>
          <w:ilvl w:val="0"/>
          <w:numId w:val="2"/>
        </w:numPr>
        <w:spacing w:after="80" w:before="60" w:line="276"/>
      </w:pPr>
      <w:r>
        <w:rPr>
          <w:rFonts w:ascii="Arial" w:cs="Arial" w:eastAsia="Arial" w:hAnsi="Arial"/>
          <w:color w:val="000000"/>
          <w:sz w:val="22"/>
          <w:szCs w:val="22"/>
        </w:rPr>
        <w:t xml:space="preserve">Mayor invisibilidad: Las mujeres en situación de sinhogarismo son menos visibles en la calle porque tienden a utilizar estrategias de supervivencia que implican el acceso a techos informales (quedarse con personas conocidas, mantener relaciones de dependencia para tener techo). Esta estrategia, denominada 'sinhogarismo oculto', reduce la identificación y derivación a programas específicos.</w:t>
      </w:r>
    </w:p>
    <w:p>
      <w:pPr>
        <w:pStyle w:val="ListParagraph"/>
        <w:numPr>
          <w:ilvl w:val="0"/>
          <w:numId w:val="2"/>
        </w:numPr>
        <w:spacing w:after="80" w:before="60" w:line="276"/>
      </w:pPr>
      <w:r>
        <w:rPr>
          <w:rFonts w:ascii="Arial" w:cs="Arial" w:eastAsia="Arial" w:hAnsi="Arial"/>
          <w:color w:val="000000"/>
          <w:sz w:val="22"/>
          <w:szCs w:val="22"/>
        </w:rPr>
        <w:t xml:space="preserve">Violencia de género como factor causal: La violencia de pareja o familiar es un factor causal o precipitante del sinhogarismo en una proporción muy significativa de mujeres participantes. El programa debe incorporar en su intervención los recursos y los protocolos específicos de atención a la violencia de género.</w:t>
      </w:r>
    </w:p>
    <w:p>
      <w:pPr>
        <w:pStyle w:val="ListParagraph"/>
        <w:numPr>
          <w:ilvl w:val="0"/>
          <w:numId w:val="2"/>
        </w:numPr>
        <w:spacing w:after="80" w:before="60" w:line="276"/>
      </w:pPr>
      <w:r>
        <w:rPr>
          <w:rFonts w:ascii="Arial" w:cs="Arial" w:eastAsia="Arial" w:hAnsi="Arial"/>
          <w:color w:val="000000"/>
          <w:sz w:val="22"/>
          <w:szCs w:val="22"/>
        </w:rPr>
        <w:t xml:space="preserve">Maternidad y tutela de menores: Las mujeres con hijos bajo tutela de la administración presentan motivaciones específicas para estabilizarse (recuperar la custodia) que el programa puede trabajar como factores motivacionales, a la vez que son fuente de sufrimiento y complejidad adicional.</w:t>
      </w:r>
    </w:p>
    <w:p>
      <w:pPr>
        <w:pStyle w:val="ListParagraph"/>
        <w:numPr>
          <w:ilvl w:val="0"/>
          <w:numId w:val="2"/>
        </w:numPr>
        <w:spacing w:after="80" w:before="60" w:line="276"/>
      </w:pPr>
      <w:r>
        <w:rPr>
          <w:rFonts w:ascii="Arial" w:cs="Arial" w:eastAsia="Arial" w:hAnsi="Arial"/>
          <w:color w:val="000000"/>
          <w:sz w:val="22"/>
          <w:szCs w:val="22"/>
        </w:rPr>
        <w:t xml:space="preserve">Doble estigma: Las mujeres sin hogar con consumo de sustancias o diagnóstico psiquiátrico soportan un estigma social y profesional especialmente intenso, que puede dificultar el acceso a servicios normalizados y la interacción con el entorno comunitario.</w:t>
      </w:r>
    </w:p>
    <w:p>
      <w:pPr>
        <w:pStyle w:val="ListParagraph"/>
        <w:numPr>
          <w:ilvl w:val="0"/>
          <w:numId w:val="2"/>
        </w:numPr>
        <w:spacing w:after="80" w:before="60" w:line="276"/>
      </w:pPr>
      <w:r>
        <w:rPr>
          <w:rFonts w:ascii="Arial" w:cs="Arial" w:eastAsia="Arial" w:hAnsi="Arial"/>
          <w:color w:val="000000"/>
          <w:sz w:val="22"/>
          <w:szCs w:val="22"/>
        </w:rPr>
        <w:t xml:space="preserve">Seguridad en la vivienda: La selección de viviendas para participantes mujeres debe considerar factores de seguridad específicos: accesibilidad del domicilio, posibilidad de contacto con el agresor, privacidad y discreción en la ubicación.</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180"/>
              <w:bottom w:type="dxa" w:w="120"/>
              <w:right w:type="dxa" w:w="180"/>
            </w:tcMar>
          </w:tcPr>
          <w:p>
            <w:pPr>
              <w:spacing w:after="80" w:before="0"/>
            </w:pPr>
            <w:r>
              <w:rPr>
                <w:rFonts w:ascii="Arial" w:cs="Arial" w:eastAsia="Arial" w:hAnsi="Arial"/>
                <w:b/>
                <w:bCs/>
                <w:color w:val="1F4E79"/>
                <w:sz w:val="22"/>
                <w:szCs w:val="22"/>
              </w:rPr>
              <w:t xml:space="preserve">BUENA PRÁCTICA: PROTOCOLO DE GÉNERO EN EL ACCESO AL PROGRAMA</w:t>
            </w:r>
          </w:p>
          <w:p>
            <w:pPr>
              <w:spacing w:after="60" w:before="40" w:line="276"/>
              <w:jc w:val="both"/>
            </w:pPr>
            <w:r>
              <w:rPr>
                <w:rFonts w:ascii="Arial" w:cs="Arial" w:eastAsia="Arial" w:hAnsi="Arial"/>
                <w:color w:val="000000"/>
                <w:sz w:val="21"/>
                <w:szCs w:val="21"/>
              </w:rPr>
              <w:t xml:space="preserve">En la práctica de coordinación de proyectos HF se ha constatado la necesidad de adaptar el proceso de derivación y acceso para facilitar la participación de mujeres. Algunas medidas que han resultado efectivas:</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Formación específica de las entidades derivadoras en la identificación del sinhogarismo oculto femenino. Realización de primeras entrevistas de valoración en espacios seguros para la mujer, preferiblemente fuera de los circuitos masculinos del sistema de emergencia. Verificación sistemática de la existencia de órdenes de alejamiento o medidas de protección antes de la selección de vivienda. Coordinación con recursos de atención a la violencia de género como parte del mapa de recursos del programa.</w:t>
            </w:r>
          </w:p>
        </w:tc>
      </w:tr>
    </w:tbl>
    <w:p>
      <w:pPr>
        <w:spacing w:after="120" w:before="120"/>
      </w:pPr>
      <w:r>
        <w:t xml:space="preserve"/>
      </w:r>
    </w:p>
    <w:p>
      <w:pPr>
        <w:pStyle w:val="Heading1"/>
        <w:pageBreakBefore/>
        <w:spacing w:after="240" w:before="0"/>
      </w:pPr>
      <w:r>
        <w:rPr>
          <w:rFonts w:ascii="Arial" w:cs="Arial" w:eastAsia="Arial" w:hAnsi="Arial"/>
          <w:b/>
          <w:bCs/>
          <w:color w:val="FFFFFF"/>
          <w:sz w:val="32"/>
          <w:szCs w:val="32"/>
        </w:rPr>
        <w:t xml:space="preserve">MÓDULO 9: CONSENTIMIENTO INFORMADO, ÉTICA E INSTRUMENTOS DE VALORACIÓN INICIAL</w:t>
      </w:r>
    </w:p>
    <w:p>
      <w:pPr>
        <w:pStyle w:val="Heading2"/>
        <w:spacing w:after="160" w:before="280"/>
      </w:pPr>
      <w:r>
        <w:rPr>
          <w:rFonts w:ascii="Arial" w:cs="Arial" w:eastAsia="Arial" w:hAnsi="Arial"/>
          <w:b/>
          <w:bCs/>
          <w:color w:val="1F4E79"/>
          <w:sz w:val="26"/>
          <w:szCs w:val="26"/>
        </w:rPr>
        <w:t xml:space="preserve">9.1. El Consentimiento Informado en Proyectos Housing First</w:t>
      </w:r>
    </w:p>
    <w:p>
      <w:pPr>
        <w:spacing w:after="140" w:before="80" w:line="276"/>
        <w:jc w:val="both"/>
      </w:pPr>
      <w:r>
        <w:rPr>
          <w:rFonts w:ascii="Arial" w:cs="Arial" w:eastAsia="Arial" w:hAnsi="Arial"/>
          <w:b w:val="false"/>
          <w:bCs w:val="false"/>
          <w:i w:val="false"/>
          <w:iCs w:val="false"/>
          <w:color w:val="000000"/>
          <w:sz w:val="22"/>
          <w:szCs w:val="22"/>
        </w:rPr>
        <w:t xml:space="preserve">El consentimiento informado ocupa un lugar central en la práctica del Housing First, coherentemente con el principio de autodeterminación. No es un trámite administrativo ni un documento que se firma para cumplir con la normativa: es el primer acto concreto en el que la persona ejerce su capacidad de decisión sobre su propio proceso vital.</w:t>
      </w:r>
    </w:p>
    <w:p>
      <w:pPr>
        <w:spacing w:after="140" w:before="80" w:line="276"/>
        <w:jc w:val="both"/>
      </w:pPr>
      <w:r>
        <w:rPr>
          <w:rFonts w:ascii="Arial" w:cs="Arial" w:eastAsia="Arial" w:hAnsi="Arial"/>
          <w:b w:val="false"/>
          <w:bCs w:val="false"/>
          <w:i w:val="false"/>
          <w:iCs w:val="false"/>
          <w:color w:val="000000"/>
          <w:sz w:val="22"/>
          <w:szCs w:val="22"/>
        </w:rPr>
        <w:t xml:space="preserve">Un consentimiento informado válido en el contexto HF requiere que la persona comprenda y acepte de forma libre y sin presión los siguientes elementos:</w:t>
      </w:r>
    </w:p>
    <w:p>
      <w:pPr>
        <w:pStyle w:val="ListParagraph"/>
        <w:numPr>
          <w:ilvl w:val="0"/>
          <w:numId w:val="2"/>
        </w:numPr>
        <w:spacing w:after="80" w:before="60" w:line="276"/>
      </w:pPr>
      <w:r>
        <w:rPr>
          <w:rFonts w:ascii="Arial" w:cs="Arial" w:eastAsia="Arial" w:hAnsi="Arial"/>
          <w:color w:val="000000"/>
          <w:sz w:val="22"/>
          <w:szCs w:val="22"/>
        </w:rPr>
        <w:t xml:space="preserve">Qué es el programa y cuáles son sus objetivos generales.</w:t>
      </w:r>
    </w:p>
    <w:p>
      <w:pPr>
        <w:pStyle w:val="ListParagraph"/>
        <w:numPr>
          <w:ilvl w:val="0"/>
          <w:numId w:val="2"/>
        </w:numPr>
        <w:spacing w:after="80" w:before="60" w:line="276"/>
      </w:pPr>
      <w:r>
        <w:rPr>
          <w:rFonts w:ascii="Arial" w:cs="Arial" w:eastAsia="Arial" w:hAnsi="Arial"/>
          <w:color w:val="000000"/>
          <w:sz w:val="22"/>
          <w:szCs w:val="22"/>
        </w:rPr>
        <w:t xml:space="preserve">Qué implica participar: acceso a una vivienda, apoyos ofrecidos, contribución económica, derechos y obligaciones básicas.</w:t>
      </w:r>
    </w:p>
    <w:p>
      <w:pPr>
        <w:pStyle w:val="ListParagraph"/>
        <w:numPr>
          <w:ilvl w:val="0"/>
          <w:numId w:val="2"/>
        </w:numPr>
        <w:spacing w:after="80" w:before="60" w:line="276"/>
      </w:pPr>
      <w:r>
        <w:rPr>
          <w:rFonts w:ascii="Arial" w:cs="Arial" w:eastAsia="Arial" w:hAnsi="Arial"/>
          <w:color w:val="000000"/>
          <w:sz w:val="22"/>
          <w:szCs w:val="22"/>
        </w:rPr>
        <w:t xml:space="preserve">Qué información se va a recoger sobre ella y con qué finalidad.</w:t>
      </w:r>
    </w:p>
    <w:p>
      <w:pPr>
        <w:pStyle w:val="ListParagraph"/>
        <w:numPr>
          <w:ilvl w:val="0"/>
          <w:numId w:val="2"/>
        </w:numPr>
        <w:spacing w:after="80" w:before="60" w:line="276"/>
      </w:pPr>
      <w:r>
        <w:rPr>
          <w:rFonts w:ascii="Arial" w:cs="Arial" w:eastAsia="Arial" w:hAnsi="Arial"/>
          <w:color w:val="000000"/>
          <w:sz w:val="22"/>
          <w:szCs w:val="22"/>
        </w:rPr>
        <w:t xml:space="preserve">Con quién se compartirá esa información y bajo qué condiciones.</w:t>
      </w:r>
    </w:p>
    <w:p>
      <w:pPr>
        <w:pStyle w:val="ListParagraph"/>
        <w:numPr>
          <w:ilvl w:val="0"/>
          <w:numId w:val="2"/>
        </w:numPr>
        <w:spacing w:after="80" w:before="60" w:line="276"/>
      </w:pPr>
      <w:r>
        <w:rPr>
          <w:rFonts w:ascii="Arial" w:cs="Arial" w:eastAsia="Arial" w:hAnsi="Arial"/>
          <w:color w:val="000000"/>
          <w:sz w:val="22"/>
          <w:szCs w:val="22"/>
        </w:rPr>
        <w:t xml:space="preserve">Su derecho a abandonar el programa en cualquier momento.</w:t>
      </w:r>
    </w:p>
    <w:p>
      <w:pPr>
        <w:pStyle w:val="ListParagraph"/>
        <w:numPr>
          <w:ilvl w:val="0"/>
          <w:numId w:val="2"/>
        </w:numPr>
        <w:spacing w:after="80" w:before="60" w:line="276"/>
      </w:pPr>
      <w:r>
        <w:rPr>
          <w:rFonts w:ascii="Arial" w:cs="Arial" w:eastAsia="Arial" w:hAnsi="Arial"/>
          <w:color w:val="000000"/>
          <w:sz w:val="22"/>
          <w:szCs w:val="22"/>
        </w:rPr>
        <w:t xml:space="preserve">Las condiciones bajo las cuales el programa puede resolver el arrendamiento y sus consecuencias.</w:t>
      </w:r>
    </w:p>
    <w:p>
      <w:pPr>
        <w:pStyle w:val="ListParagraph"/>
        <w:numPr>
          <w:ilvl w:val="0"/>
          <w:numId w:val="2"/>
        </w:numPr>
        <w:spacing w:after="80" w:before="60" w:line="276"/>
      </w:pPr>
      <w:r>
        <w:rPr>
          <w:rFonts w:ascii="Arial" w:cs="Arial" w:eastAsia="Arial" w:hAnsi="Arial"/>
          <w:color w:val="000000"/>
          <w:sz w:val="22"/>
          <w:szCs w:val="22"/>
        </w:rPr>
        <w:t xml:space="preserve">Si el programa incluye evaluación con asignación aleatoria: en qué consiste la aleatoriedad, cuál es la probabilidad de ser asignado al grupo HF, y qué ocurre si es asignado al grupo de control.</w:t>
      </w:r>
    </w:p>
    <w:p>
      <w:pPr>
        <w:pStyle w:val="Heading3"/>
        <w:spacing w:after="120" w:before="200"/>
      </w:pPr>
      <w:r>
        <w:rPr>
          <w:rFonts w:ascii="Arial" w:cs="Arial" w:eastAsia="Arial" w:hAnsi="Arial"/>
          <w:b/>
          <w:bCs/>
          <w:color w:val="2E75B6"/>
          <w:sz w:val="24"/>
          <w:szCs w:val="24"/>
        </w:rPr>
        <w:t xml:space="preserve">Consideraciones sobre la Capacidad para el Consentimiento</w:t>
      </w:r>
    </w:p>
    <w:p>
      <w:pPr>
        <w:spacing w:after="140" w:before="80" w:line="276"/>
        <w:jc w:val="both"/>
      </w:pPr>
      <w:r>
        <w:rPr>
          <w:rFonts w:ascii="Arial" w:cs="Arial" w:eastAsia="Arial" w:hAnsi="Arial"/>
          <w:b w:val="false"/>
          <w:bCs w:val="false"/>
          <w:i w:val="false"/>
          <w:iCs w:val="false"/>
          <w:color w:val="000000"/>
          <w:sz w:val="22"/>
          <w:szCs w:val="22"/>
        </w:rPr>
        <w:t xml:space="preserve">La presencia de un diagnóstico de trastorno mental o de consumo activo de sustancias no implica automáticamente incapacidad para otorgar consentimiento válido. La capacidad para el consentimiento debe valorarse de forma individualizada, evaluando si la persona comprende la información que se le proporciona, puede valorar sus consecuencias y puede expresar una decisión coherente.</w:t>
      </w:r>
    </w:p>
    <w:p>
      <w:pPr>
        <w:spacing w:after="140" w:before="80" w:line="276"/>
        <w:jc w:val="both"/>
      </w:pPr>
      <w:r>
        <w:rPr>
          <w:rFonts w:ascii="Arial" w:cs="Arial" w:eastAsia="Arial" w:hAnsi="Arial"/>
          <w:b w:val="false"/>
          <w:bCs w:val="false"/>
          <w:i w:val="false"/>
          <w:iCs w:val="false"/>
          <w:color w:val="000000"/>
          <w:sz w:val="22"/>
          <w:szCs w:val="22"/>
        </w:rPr>
        <w:t xml:space="preserve">En los casos en que existan dudas sobre la capacidad, el protocolo habitual es:</w:t>
      </w:r>
    </w:p>
    <w:p>
      <w:pPr>
        <w:pStyle w:val="ListParagraph"/>
        <w:numPr>
          <w:ilvl w:val="0"/>
          <w:numId w:val="3"/>
        </w:numPr>
        <w:spacing w:after="80" w:before="60" w:line="276"/>
      </w:pPr>
      <w:r>
        <w:rPr>
          <w:rFonts w:ascii="Arial" w:cs="Arial" w:eastAsia="Arial" w:hAnsi="Arial"/>
          <w:color w:val="000000"/>
          <w:sz w:val="22"/>
          <w:szCs w:val="22"/>
        </w:rPr>
        <w:t xml:space="preserve">Proporcionar la información en lenguaje claro, sencillo y adaptado al nivel de comprensión de la persona.</w:t>
      </w:r>
    </w:p>
    <w:p>
      <w:pPr>
        <w:pStyle w:val="ListParagraph"/>
        <w:numPr>
          <w:ilvl w:val="0"/>
          <w:numId w:val="3"/>
        </w:numPr>
        <w:spacing w:after="80" w:before="60" w:line="276"/>
      </w:pPr>
      <w:r>
        <w:rPr>
          <w:rFonts w:ascii="Arial" w:cs="Arial" w:eastAsia="Arial" w:hAnsi="Arial"/>
          <w:color w:val="000000"/>
          <w:sz w:val="22"/>
          <w:szCs w:val="22"/>
        </w:rPr>
        <w:t xml:space="preserve">Espaciar las conversaciones informativas para permitir que la información sea procesada.</w:t>
      </w:r>
    </w:p>
    <w:p>
      <w:pPr>
        <w:pStyle w:val="ListParagraph"/>
        <w:numPr>
          <w:ilvl w:val="0"/>
          <w:numId w:val="3"/>
        </w:numPr>
        <w:spacing w:after="80" w:before="60" w:line="276"/>
      </w:pPr>
      <w:r>
        <w:rPr>
          <w:rFonts w:ascii="Arial" w:cs="Arial" w:eastAsia="Arial" w:hAnsi="Arial"/>
          <w:color w:val="000000"/>
          <w:sz w:val="22"/>
          <w:szCs w:val="22"/>
        </w:rPr>
        <w:t xml:space="preserve">Verificar la comprensión mediante preguntas concretas antes de obtener la firma.</w:t>
      </w:r>
    </w:p>
    <w:p>
      <w:pPr>
        <w:pStyle w:val="ListParagraph"/>
        <w:numPr>
          <w:ilvl w:val="0"/>
          <w:numId w:val="3"/>
        </w:numPr>
        <w:spacing w:after="80" w:before="60" w:line="276"/>
      </w:pPr>
      <w:r>
        <w:rPr>
          <w:rFonts w:ascii="Arial" w:cs="Arial" w:eastAsia="Arial" w:hAnsi="Arial"/>
          <w:color w:val="000000"/>
          <w:sz w:val="22"/>
          <w:szCs w:val="22"/>
        </w:rPr>
        <w:t xml:space="preserve">Si la persona está bajo los efectos de sustancias en el momento de la entrevista, posponer el proceso de consentimiento.</w:t>
      </w:r>
    </w:p>
    <w:p>
      <w:pPr>
        <w:pStyle w:val="ListParagraph"/>
        <w:numPr>
          <w:ilvl w:val="0"/>
          <w:numId w:val="3"/>
        </w:numPr>
        <w:spacing w:after="80" w:before="60" w:line="276"/>
      </w:pPr>
      <w:r>
        <w:rPr>
          <w:rFonts w:ascii="Arial" w:cs="Arial" w:eastAsia="Arial" w:hAnsi="Arial"/>
          <w:color w:val="000000"/>
          <w:sz w:val="22"/>
          <w:szCs w:val="22"/>
        </w:rPr>
        <w:t xml:space="preserve">En casos de incapacidad legal declarada, seguir el procedimiento específico de actuación con el tutor o representante legal.</w:t>
      </w:r>
    </w:p>
    <w:p>
      <w:pPr>
        <w:pStyle w:val="Heading2"/>
        <w:spacing w:after="160" w:before="280"/>
      </w:pPr>
      <w:r>
        <w:rPr>
          <w:rFonts w:ascii="Arial" w:cs="Arial" w:eastAsia="Arial" w:hAnsi="Arial"/>
          <w:b/>
          <w:bCs/>
          <w:color w:val="1F4E79"/>
          <w:sz w:val="26"/>
          <w:szCs w:val="26"/>
        </w:rPr>
        <w:t xml:space="preserve">9.2. Protección de Datos en Proyectos Housing First</w:t>
      </w:r>
    </w:p>
    <w:p>
      <w:pPr>
        <w:spacing w:after="140" w:before="80" w:line="276"/>
        <w:jc w:val="both"/>
      </w:pPr>
      <w:r>
        <w:rPr>
          <w:rFonts w:ascii="Arial" w:cs="Arial" w:eastAsia="Arial" w:hAnsi="Arial"/>
          <w:b w:val="false"/>
          <w:bCs w:val="false"/>
          <w:i w:val="false"/>
          <w:iCs w:val="false"/>
          <w:color w:val="000000"/>
          <w:sz w:val="22"/>
          <w:szCs w:val="22"/>
        </w:rPr>
        <w:t xml:space="preserve">Los proyectos Housing First manejan datos personales de especial protección, en los términos definidos por el Reglamento General de Protección de Datos (RGPD) y la Ley Orgánica 3/2018 de Protección de Datos Personales y Garantía de los Derechos Digitales (LOPDGDD). Las categorías especiales de datos que se gestionan habitualmente incluyen:</w:t>
      </w:r>
    </w:p>
    <w:p>
      <w:pPr>
        <w:pStyle w:val="ListParagraph"/>
        <w:numPr>
          <w:ilvl w:val="0"/>
          <w:numId w:val="2"/>
        </w:numPr>
        <w:spacing w:after="80" w:before="60" w:line="276"/>
      </w:pPr>
      <w:r>
        <w:rPr>
          <w:rFonts w:ascii="Arial" w:cs="Arial" w:eastAsia="Arial" w:hAnsi="Arial"/>
          <w:color w:val="000000"/>
          <w:sz w:val="22"/>
          <w:szCs w:val="22"/>
        </w:rPr>
        <w:t xml:space="preserve">Datos de salud: diagnósticos médicos y psiquiátricos, historial de consumo de sustancias, tratamientos farmacológicos.</w:t>
      </w:r>
    </w:p>
    <w:p>
      <w:pPr>
        <w:pStyle w:val="ListParagraph"/>
        <w:numPr>
          <w:ilvl w:val="0"/>
          <w:numId w:val="2"/>
        </w:numPr>
        <w:spacing w:after="80" w:before="60" w:line="276"/>
      </w:pPr>
      <w:r>
        <w:rPr>
          <w:rFonts w:ascii="Arial" w:cs="Arial" w:eastAsia="Arial" w:hAnsi="Arial"/>
          <w:color w:val="000000"/>
          <w:sz w:val="22"/>
          <w:szCs w:val="22"/>
        </w:rPr>
        <w:t xml:space="preserve">Datos sobre condenas penales y medidas de seguridad.</w:t>
      </w:r>
    </w:p>
    <w:p>
      <w:pPr>
        <w:pStyle w:val="ListParagraph"/>
        <w:numPr>
          <w:ilvl w:val="0"/>
          <w:numId w:val="2"/>
        </w:numPr>
        <w:spacing w:after="80" w:before="60" w:line="276"/>
      </w:pPr>
      <w:r>
        <w:rPr>
          <w:rFonts w:ascii="Arial" w:cs="Arial" w:eastAsia="Arial" w:hAnsi="Arial"/>
          <w:color w:val="000000"/>
          <w:sz w:val="22"/>
          <w:szCs w:val="22"/>
        </w:rPr>
        <w:t xml:space="preserve">Datos sobre origen racial o étnico, cuando son relevantes para la intervención o la evaluación.</w:t>
      </w:r>
    </w:p>
    <w:p>
      <w:pPr>
        <w:pStyle w:val="ListParagraph"/>
        <w:numPr>
          <w:ilvl w:val="0"/>
          <w:numId w:val="2"/>
        </w:numPr>
        <w:spacing w:after="80" w:before="60" w:line="276"/>
      </w:pPr>
      <w:r>
        <w:rPr>
          <w:rFonts w:ascii="Arial" w:cs="Arial" w:eastAsia="Arial" w:hAnsi="Arial"/>
          <w:color w:val="000000"/>
          <w:sz w:val="22"/>
          <w:szCs w:val="22"/>
        </w:rPr>
        <w:t xml:space="preserve">Datos sobre situación administrativa: tipo de residencia, situación documental.</w:t>
      </w:r>
    </w:p>
    <w:p>
      <w:pPr>
        <w:pStyle w:val="Heading3"/>
        <w:spacing w:after="120" w:before="200"/>
      </w:pPr>
      <w:r>
        <w:rPr>
          <w:rFonts w:ascii="Arial" w:cs="Arial" w:eastAsia="Arial" w:hAnsi="Arial"/>
          <w:b/>
          <w:bCs/>
          <w:color w:val="2E75B6"/>
          <w:sz w:val="24"/>
          <w:szCs w:val="24"/>
        </w:rPr>
        <w:t xml:space="preserve">Obligaciones del Programa en Materia de Protección de Datos</w:t>
      </w:r>
    </w:p>
    <w:p>
      <w:pPr>
        <w:pStyle w:val="ListParagraph"/>
        <w:numPr>
          <w:ilvl w:val="0"/>
          <w:numId w:val="2"/>
        </w:numPr>
        <w:spacing w:after="80" w:before="60" w:line="276"/>
      </w:pPr>
      <w:r>
        <w:rPr>
          <w:rFonts w:ascii="Arial" w:cs="Arial" w:eastAsia="Arial" w:hAnsi="Arial"/>
          <w:color w:val="000000"/>
          <w:sz w:val="22"/>
          <w:szCs w:val="22"/>
        </w:rPr>
        <w:t xml:space="preserve">Designar un Delegado de Protección de Datos (DPD) cuando la entidad gestora del programa sea de titularidad pública o trate datos a gran escala.</w:t>
      </w:r>
    </w:p>
    <w:p>
      <w:pPr>
        <w:pStyle w:val="ListParagraph"/>
        <w:numPr>
          <w:ilvl w:val="0"/>
          <w:numId w:val="2"/>
        </w:numPr>
        <w:spacing w:after="80" w:before="60" w:line="276"/>
      </w:pPr>
      <w:r>
        <w:rPr>
          <w:rFonts w:ascii="Arial" w:cs="Arial" w:eastAsia="Arial" w:hAnsi="Arial"/>
          <w:color w:val="000000"/>
          <w:sz w:val="22"/>
          <w:szCs w:val="22"/>
        </w:rPr>
        <w:t xml:space="preserve">Disponer de una base jurídica explícita para el tratamiento de cada categoría de datos (habitualmente: consentimiento del interesado, cumplimiento de obligación legal, interés público en el ámbito social o sanitario).</w:t>
      </w:r>
    </w:p>
    <w:p>
      <w:pPr>
        <w:pStyle w:val="ListParagraph"/>
        <w:numPr>
          <w:ilvl w:val="0"/>
          <w:numId w:val="2"/>
        </w:numPr>
        <w:spacing w:after="80" w:before="60" w:line="276"/>
      </w:pPr>
      <w:r>
        <w:rPr>
          <w:rFonts w:ascii="Arial" w:cs="Arial" w:eastAsia="Arial" w:hAnsi="Arial"/>
          <w:color w:val="000000"/>
          <w:sz w:val="22"/>
          <w:szCs w:val="22"/>
        </w:rPr>
        <w:t xml:space="preserve">Informar a las personas participantes de sus derechos: acceso, rectificación, supresión, limitación del tratamiento, portabilidad, oposición.</w:t>
      </w:r>
    </w:p>
    <w:p>
      <w:pPr>
        <w:pStyle w:val="ListParagraph"/>
        <w:numPr>
          <w:ilvl w:val="0"/>
          <w:numId w:val="2"/>
        </w:numPr>
        <w:spacing w:after="80" w:before="60" w:line="276"/>
      </w:pPr>
      <w:r>
        <w:rPr>
          <w:rFonts w:ascii="Arial" w:cs="Arial" w:eastAsia="Arial" w:hAnsi="Arial"/>
          <w:color w:val="000000"/>
          <w:sz w:val="22"/>
          <w:szCs w:val="22"/>
        </w:rPr>
        <w:t xml:space="preserve">Garantizar que solo el personal estrictamente necesario accede a los datos personales (principio de minimización).</w:t>
      </w:r>
    </w:p>
    <w:p>
      <w:pPr>
        <w:pStyle w:val="ListParagraph"/>
        <w:numPr>
          <w:ilvl w:val="0"/>
          <w:numId w:val="2"/>
        </w:numPr>
        <w:spacing w:after="80" w:before="60" w:line="276"/>
      </w:pPr>
      <w:r>
        <w:rPr>
          <w:rFonts w:ascii="Arial" w:cs="Arial" w:eastAsia="Arial" w:hAnsi="Arial"/>
          <w:color w:val="000000"/>
          <w:sz w:val="22"/>
          <w:szCs w:val="22"/>
        </w:rPr>
        <w:t xml:space="preserve">Establecer medidas de seguridad técnicas y organizativas proporcionales al riesgo: acceso con contraseña, cifrado, registro de accesos, protocolos de gestión de incidentes de seguridad.</w:t>
      </w:r>
    </w:p>
    <w:p>
      <w:pPr>
        <w:pStyle w:val="ListParagraph"/>
        <w:numPr>
          <w:ilvl w:val="0"/>
          <w:numId w:val="2"/>
        </w:numPr>
        <w:spacing w:after="80" w:before="60" w:line="276"/>
      </w:pPr>
      <w:r>
        <w:rPr>
          <w:rFonts w:ascii="Arial" w:cs="Arial" w:eastAsia="Arial" w:hAnsi="Arial"/>
          <w:color w:val="000000"/>
          <w:sz w:val="22"/>
          <w:szCs w:val="22"/>
        </w:rPr>
        <w:t xml:space="preserve">Mantener un Registro de Actividades de Tratamiento actualizado.</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180"/>
              <w:bottom w:type="dxa" w:w="120"/>
              <w:right w:type="dxa" w:w="180"/>
            </w:tcMar>
          </w:tcPr>
          <w:p>
            <w:pPr>
              <w:spacing w:after="80" w:before="0"/>
            </w:pPr>
            <w:r>
              <w:rPr>
                <w:rFonts w:ascii="Arial" w:cs="Arial" w:eastAsia="Arial" w:hAnsi="Arial"/>
                <w:b/>
                <w:bCs/>
                <w:color w:val="1F4E79"/>
                <w:sz w:val="22"/>
                <w:szCs w:val="22"/>
              </w:rPr>
              <w:t xml:space="preserve">ADVERTENCIA PARA LA PRÁCTICA PROFESIONAL</w:t>
            </w:r>
          </w:p>
          <w:p>
            <w:pPr>
              <w:spacing w:after="60" w:before="40" w:line="276"/>
              <w:jc w:val="both"/>
            </w:pPr>
            <w:r>
              <w:rPr>
                <w:rFonts w:ascii="Arial" w:cs="Arial" w:eastAsia="Arial" w:hAnsi="Arial"/>
                <w:color w:val="000000"/>
                <w:sz w:val="21"/>
                <w:szCs w:val="21"/>
              </w:rPr>
              <w:t xml:space="preserve">En programas Housing First con múltiples entidades participantes (UTE, alianzas, consorcios), la gestión de datos personales es especialmente compleja porque implica la cesión de información entre organizaciones que pueden tener bases jurídicas y procedimientos distintos. Es imprescindible formalizar previamente, mediante contrato o acuerdo específico, las condiciones de acceso, uso y cesión de datos personales entre todas las entidades participantes.</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El uso de iniciales, seudónimos o códigos de identificación en la documentación interna (informes de seguimiento, actas de reunión, registros de intervención) es una medida básica de protección que debe aplicarse de forma sistemática y sin excepciones.</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9.3. Instrumentos de Valoración Inicial</w:t>
      </w:r>
    </w:p>
    <w:p>
      <w:pPr>
        <w:spacing w:after="140" w:before="80" w:line="276"/>
        <w:jc w:val="both"/>
      </w:pPr>
      <w:r>
        <w:rPr>
          <w:rFonts w:ascii="Arial" w:cs="Arial" w:eastAsia="Arial" w:hAnsi="Arial"/>
          <w:b w:val="false"/>
          <w:bCs w:val="false"/>
          <w:i w:val="false"/>
          <w:iCs w:val="false"/>
          <w:color w:val="000000"/>
          <w:sz w:val="22"/>
          <w:szCs w:val="22"/>
        </w:rPr>
        <w:t xml:space="preserve">En el momento de acceso al programa y como parte del proceso de evaluación de línea de base, se aplica una batería de instrumentos estandarizados que permiten valorar la situación de la persona en todas las dimensiones relevantes para la intervención. El conocimiento de estos instrumentos por parte de todo el equipo es esencial para garantizar la calidad y comparabilidad de los datos.</w:t>
      </w:r>
    </w:p>
    <w:p>
      <w:pPr>
        <w:pStyle w:val="Heading3"/>
        <w:spacing w:after="120" w:before="200"/>
      </w:pPr>
      <w:r>
        <w:rPr>
          <w:rFonts w:ascii="Arial" w:cs="Arial" w:eastAsia="Arial" w:hAnsi="Arial"/>
          <w:b/>
          <w:bCs/>
          <w:color w:val="2E75B6"/>
          <w:sz w:val="24"/>
          <w:szCs w:val="24"/>
        </w:rPr>
        <w:t xml:space="preserve">Principales Instrumentos Utilizados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1600"/>
        <w:gridCol w:w="3626"/>
      </w:tblGrid>
      <w:tr>
        <w:trPr>
          <w:tblHeader/>
        </w:trPr>
        <w:tc>
          <w:tcPr>
            <w:tcW w:type="dxa" w:w="1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Instrumento</w:t>
            </w:r>
          </w:p>
        </w:tc>
        <w:tc>
          <w:tcPr>
            <w:tcW w:type="dxa" w:w="2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Área que evalúa</w:t>
            </w:r>
          </w:p>
        </w:tc>
        <w:tc>
          <w:tcPr>
            <w:tcW w:type="dxa" w:w="16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Formato</w:t>
            </w:r>
          </w:p>
        </w:tc>
        <w:tc>
          <w:tcPr>
            <w:tcW w:type="dxa" w:w="36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Observaciones</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GHQ-28 (General Health Questionnaire)</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Salud mental general: síntomas somáticos, ansiedad, disfunción social, depresión grave</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28 ítems, autoaplicado o heteroadministrado</w:t>
            </w:r>
          </w:p>
        </w:tc>
        <w:tc>
          <w:tcPr>
            <w:tcW w:type="dxa" w:w="36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Muy amplio uso internacional. Sensible al cambio en el tiempo. Alta correlación con diagnóstico psiquiátrico clínico.</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EuropASI (European Addiction Severity Index)</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Adicciones y áreas relacionadas: situación médica, empleo, alcohol, drogas, judicial, familia, psiquiátrica</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Entrevista estructurada, ~45 minutos</w:t>
            </w:r>
          </w:p>
        </w:tc>
        <w:tc>
          <w:tcPr>
            <w:tcW w:type="dxa" w:w="3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Estándar europeo en evaluación de adicciones. Permite valoración multidimensional.</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MANSAS (Manchester Short Assessment of Quality of Life)</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Calidad de vida en múltiples dominios</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12 ítems, escala Likert</w:t>
            </w:r>
          </w:p>
        </w:tc>
        <w:tc>
          <w:tcPr>
            <w:tcW w:type="dxa" w:w="36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Rápida aplicación. Muy usado en proyectos HF europeos.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EUIC (Escala de Evaluación Individual de Compromisos)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Compromisos y apoyos individualizados: grado de cumplimiento de objetivos acordados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Entrevista semiestructurada con técnico</w:t>
            </w:r>
          </w:p>
        </w:tc>
        <w:tc>
          <w:tcPr>
            <w:tcW w:type="dxa" w:w="3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Instrumento central del modelo HF español. Se aplica de forma longitudinal en cada revisión del plan de trabajo.</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Índice de Barthel</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Autonomía en actividades básicas de la vida diaria</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10 ítems observacionales</w:t>
            </w:r>
          </w:p>
        </w:tc>
        <w:tc>
          <w:tcPr>
            <w:tcW w:type="dxa" w:w="36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Especialmente útil en participantes de edad avanzada o con deterioro físico significativo.</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Cuestionario de trayectoria vital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Historia de vida, trayectoria de sinhogarismo, situación familiar, red social, historia laboral</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Entrevista semiestructurada</w:t>
            </w:r>
          </w:p>
        </w:tc>
        <w:tc>
          <w:tcPr>
            <w:tcW w:type="dxa" w:w="3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Diseño específico de cada programa. Proporciona el contexto narrativo imprescindible para la intervención individualizada.</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9.4. Ética Profesional en la Intervención Housing First</w:t>
      </w:r>
    </w:p>
    <w:p>
      <w:pPr>
        <w:spacing w:after="140" w:before="80" w:line="276"/>
        <w:jc w:val="both"/>
      </w:pPr>
      <w:r>
        <w:rPr>
          <w:rFonts w:ascii="Arial" w:cs="Arial" w:eastAsia="Arial" w:hAnsi="Arial"/>
          <w:b w:val="false"/>
          <w:bCs w:val="false"/>
          <w:i w:val="false"/>
          <w:iCs w:val="false"/>
          <w:color w:val="000000"/>
          <w:sz w:val="22"/>
          <w:szCs w:val="22"/>
        </w:rPr>
        <w:t xml:space="preserve">El trabajo con personas en situación de alta vulnerabilidad plantea dilemas éticos frecuentes que el equipo debe estar preparado para identificar, analizar y resolver de forma reflexiva y colectiva. La supervisión clínica regular y el trabajo en equipo son los mecanismos principales para gestionar estos dilemas de forma saludable.</w:t>
      </w:r>
    </w:p>
    <w:p>
      <w:pPr>
        <w:pStyle w:val="Heading3"/>
        <w:spacing w:after="120" w:before="200"/>
      </w:pPr>
      <w:r>
        <w:rPr>
          <w:rFonts w:ascii="Arial" w:cs="Arial" w:eastAsia="Arial" w:hAnsi="Arial"/>
          <w:b/>
          <w:bCs/>
          <w:color w:val="2E75B6"/>
          <w:sz w:val="24"/>
          <w:szCs w:val="24"/>
        </w:rPr>
        <w:t xml:space="preserve">Dilemas Éticos más Frecuentes</w:t>
      </w:r>
    </w:p>
    <w:p>
      <w:pPr>
        <w:pStyle w:val="ListParagraph"/>
        <w:numPr>
          <w:ilvl w:val="0"/>
          <w:numId w:val="2"/>
        </w:numPr>
        <w:spacing w:after="80" w:before="60" w:line="276"/>
      </w:pPr>
      <w:r>
        <w:rPr>
          <w:rFonts w:ascii="Arial" w:cs="Arial" w:eastAsia="Arial" w:hAnsi="Arial"/>
          <w:color w:val="000000"/>
          <w:sz w:val="22"/>
          <w:szCs w:val="22"/>
        </w:rPr>
        <w:t xml:space="preserve">Autonomía vs. Protección: Cuando la persona toma decisiones que el equipo considera de riesgo grave para su salud o integridad (consumo de dosis potencialmente letales, rechazo de atención médica urgente, conductas de autolesión). La tensión entre respetar la autonomía y proteger la vida de la persona no tiene una resolución algorítmica: requiere análisis de cada situación con el equipo y, en casos extremos, con asesoramiento jurídico.</w:t>
      </w:r>
    </w:p>
    <w:p>
      <w:pPr>
        <w:pStyle w:val="ListParagraph"/>
        <w:numPr>
          <w:ilvl w:val="0"/>
          <w:numId w:val="2"/>
        </w:numPr>
        <w:spacing w:after="80" w:before="60" w:line="276"/>
      </w:pPr>
      <w:r>
        <w:rPr>
          <w:rFonts w:ascii="Arial" w:cs="Arial" w:eastAsia="Arial" w:hAnsi="Arial"/>
          <w:color w:val="000000"/>
          <w:sz w:val="22"/>
          <w:szCs w:val="22"/>
        </w:rPr>
        <w:t xml:space="preserve">Confidencialidad vs. Deber de advertencia: Cuando la persona revela información que podría implicar riesgo para terceros (amenazas a vecinos, conductas delictivas en el domicilio). El equipo debe conocer los límites legales de la confidencialidad y los protocolos de comunicación en estos casos.</w:t>
      </w:r>
    </w:p>
    <w:p>
      <w:pPr>
        <w:pStyle w:val="ListParagraph"/>
        <w:numPr>
          <w:ilvl w:val="0"/>
          <w:numId w:val="2"/>
        </w:numPr>
        <w:spacing w:after="80" w:before="60" w:line="276"/>
      </w:pPr>
      <w:r>
        <w:rPr>
          <w:rFonts w:ascii="Arial" w:cs="Arial" w:eastAsia="Arial" w:hAnsi="Arial"/>
          <w:color w:val="000000"/>
          <w:sz w:val="22"/>
          <w:szCs w:val="22"/>
        </w:rPr>
        <w:t xml:space="preserve">Implicación emocional: Las relaciones de largo plazo con personas en situaciones de gran sufrimiento generan inevitablemente vinculación emocional en el equipo. Una vinculación saludable es terapéutica; una vinculación excesiva o no gestionada puede llevar al agotamiento y a la pérdida de neutralidad profesional.</w:t>
      </w:r>
    </w:p>
    <w:p>
      <w:pPr>
        <w:pStyle w:val="ListParagraph"/>
        <w:numPr>
          <w:ilvl w:val="0"/>
          <w:numId w:val="2"/>
        </w:numPr>
        <w:spacing w:after="80" w:before="60" w:line="276"/>
      </w:pPr>
      <w:r>
        <w:rPr>
          <w:rFonts w:ascii="Arial" w:cs="Arial" w:eastAsia="Arial" w:hAnsi="Arial"/>
          <w:color w:val="000000"/>
          <w:sz w:val="22"/>
          <w:szCs w:val="22"/>
        </w:rPr>
        <w:t xml:space="preserve">Gestión de las recaídas: Cómo mantener el apoyo y la esperanza cuando una persona con la que se ha trabajado durante meses vuelve a la situación de consumo severo o pierde de nuevo la vivienda. El equipo necesita herramientas para procesar estos momentos sin que se conviertan en fuente de desánimo generalizado.</w:t>
      </w:r>
    </w:p>
    <w:p>
      <w:pPr>
        <w:pStyle w:val="Heading1"/>
        <w:pageBreakBefore/>
        <w:spacing w:after="240" w:before="0"/>
      </w:pPr>
      <w:r>
        <w:rPr>
          <w:rFonts w:ascii="Arial" w:cs="Arial" w:eastAsia="Arial" w:hAnsi="Arial"/>
          <w:b/>
          <w:bCs/>
          <w:color w:val="FFFFFF"/>
          <w:sz w:val="32"/>
          <w:szCs w:val="32"/>
        </w:rPr>
        <w:t xml:space="preserve">RESUMEN EJECUTIVO DE LA PARTE 2 Y ACTIVIDADES PRÁCTICAS</w:t>
      </w:r>
    </w:p>
    <w:p>
      <w:pPr>
        <w:pStyle w:val="Heading2"/>
        <w:spacing w:after="160" w:before="280"/>
      </w:pPr>
      <w:r>
        <w:rPr>
          <w:rFonts w:ascii="Arial" w:cs="Arial" w:eastAsia="Arial" w:hAnsi="Arial"/>
          <w:b/>
          <w:bCs/>
          <w:color w:val="1F4E79"/>
          <w:sz w:val="26"/>
          <w:szCs w:val="26"/>
        </w:rPr>
        <w:t xml:space="preserve">Resumen: Conceptos Clave de la Parte 2</w:t>
      </w:r>
    </w:p>
    <w:p>
      <w:pPr>
        <w:spacing w:after="140" w:before="80" w:line="276"/>
        <w:jc w:val="both"/>
      </w:pPr>
      <w:r>
        <w:rPr>
          <w:rFonts w:ascii="Arial" w:cs="Arial" w:eastAsia="Arial" w:hAnsi="Arial"/>
          <w:b w:val="false"/>
          <w:bCs w:val="false"/>
          <w:i w:val="false"/>
          <w:iCs w:val="false"/>
          <w:color w:val="000000"/>
          <w:sz w:val="22"/>
          <w:szCs w:val="22"/>
        </w:rPr>
        <w:t xml:space="preserve">La Parte 2 ha desarrollado los principios metodológicos del Housing First y el perfil de las personas beneficiarias. Los conceptos fundamentales que el profesional debe dominar al completar este bloque son:</w:t>
      </w:r>
    </w:p>
    <w:p>
      <w:pPr>
        <w:pStyle w:val="ListParagraph"/>
        <w:numPr>
          <w:ilvl w:val="0"/>
          <w:numId w:val="2"/>
        </w:numPr>
        <w:spacing w:after="80" w:before="60" w:line="276"/>
      </w:pPr>
      <w:r>
        <w:rPr>
          <w:rFonts w:ascii="Arial" w:cs="Arial" w:eastAsia="Arial" w:hAnsi="Arial"/>
          <w:color w:val="000000"/>
          <w:sz w:val="22"/>
          <w:szCs w:val="22"/>
        </w:rPr>
        <w:t xml:space="preserve">Las seis claves metodológicas del Housing First forman un sistema interdependiente: incondicionalidad, separación vivienda-tratamiento, respeto y calidez, autodeterminación, orientación a la recuperación y vivienda como derecho.</w:t>
      </w:r>
    </w:p>
    <w:p>
      <w:pPr>
        <w:pStyle w:val="ListParagraph"/>
        <w:numPr>
          <w:ilvl w:val="0"/>
          <w:numId w:val="2"/>
        </w:numPr>
        <w:spacing w:after="80" w:before="60" w:line="276"/>
      </w:pPr>
      <w:r>
        <w:rPr>
          <w:rFonts w:ascii="Arial" w:cs="Arial" w:eastAsia="Arial" w:hAnsi="Arial"/>
          <w:color w:val="000000"/>
          <w:sz w:val="22"/>
          <w:szCs w:val="22"/>
        </w:rPr>
        <w:t xml:space="preserve">La incondicionalidad es el principio más exigente en la práctica porque implica mantener el alojamiento incluso en situaciones de consumo activo, incumplimientos vecinales o rechazo de los apoyos. Solo el incumplimiento legal grave justifica medidas extraordinarias.</w:t>
      </w:r>
    </w:p>
    <w:p>
      <w:pPr>
        <w:pStyle w:val="ListParagraph"/>
        <w:numPr>
          <w:ilvl w:val="0"/>
          <w:numId w:val="2"/>
        </w:numPr>
        <w:spacing w:after="80" w:before="60" w:line="276"/>
      </w:pPr>
      <w:r>
        <w:rPr>
          <w:rFonts w:ascii="Arial" w:cs="Arial" w:eastAsia="Arial" w:hAnsi="Arial"/>
          <w:color w:val="000000"/>
          <w:sz w:val="22"/>
          <w:szCs w:val="22"/>
        </w:rPr>
        <w:t xml:space="preserve">La reducción de daños no exige abstinencia como condición. Trabaja desde la realidad del consumo para minimizar sus consecuencias negativas, respetando la autonomía de la persona.</w:t>
      </w:r>
    </w:p>
    <w:p>
      <w:pPr>
        <w:pStyle w:val="ListParagraph"/>
        <w:numPr>
          <w:ilvl w:val="0"/>
          <w:numId w:val="2"/>
        </w:numPr>
        <w:spacing w:after="80" w:before="60" w:line="276"/>
      </w:pPr>
      <w:r>
        <w:rPr>
          <w:rFonts w:ascii="Arial" w:cs="Arial" w:eastAsia="Arial" w:hAnsi="Arial"/>
          <w:color w:val="000000"/>
          <w:sz w:val="22"/>
          <w:szCs w:val="22"/>
        </w:rPr>
        <w:t xml:space="preserve">El modelo de recuperación desplaza el foco desde la reducción sintomática hacia el apoyo a una vida con sentido, autonomía y participación, con o sin síntomas residuales.</w:t>
      </w:r>
    </w:p>
    <w:p>
      <w:pPr>
        <w:pStyle w:val="ListParagraph"/>
        <w:numPr>
          <w:ilvl w:val="0"/>
          <w:numId w:val="2"/>
        </w:numPr>
        <w:spacing w:after="80" w:before="60" w:line="276"/>
      </w:pPr>
      <w:r>
        <w:rPr>
          <w:rFonts w:ascii="Arial" w:cs="Arial" w:eastAsia="Arial" w:hAnsi="Arial"/>
          <w:color w:val="000000"/>
          <w:sz w:val="22"/>
          <w:szCs w:val="22"/>
        </w:rPr>
        <w:t xml:space="preserve">El perfil de beneficiario combina larga trayectoria de sinhogarismo (mínimo 3 años o 1 año continuo en calle) con alta vulnerabilidad añadida (salud mental, adicciones, discapacidad). El consumo activo, los antecedentes penales o la irregularidad administrativa no son criterios de exclusión.</w:t>
      </w:r>
    </w:p>
    <w:p>
      <w:pPr>
        <w:pStyle w:val="ListParagraph"/>
        <w:numPr>
          <w:ilvl w:val="0"/>
          <w:numId w:val="2"/>
        </w:numPr>
        <w:spacing w:after="80" w:before="60" w:line="276"/>
      </w:pPr>
      <w:r>
        <w:rPr>
          <w:rFonts w:ascii="Arial" w:cs="Arial" w:eastAsia="Arial" w:hAnsi="Arial"/>
          <w:color w:val="000000"/>
          <w:sz w:val="22"/>
          <w:szCs w:val="22"/>
        </w:rPr>
        <w:t xml:space="preserve">La perspectiva de género es transversal: las mujeres presentan sinhogarismo oculto, mayor vinculación con violencia de pareja y necesidades de seguridad específicas que deben incorporarse al diseño del programa.</w:t>
      </w:r>
    </w:p>
    <w:p>
      <w:pPr>
        <w:pStyle w:val="ListParagraph"/>
        <w:numPr>
          <w:ilvl w:val="0"/>
          <w:numId w:val="2"/>
        </w:numPr>
        <w:spacing w:after="80" w:before="60" w:line="276"/>
      </w:pPr>
      <w:r>
        <w:rPr>
          <w:rFonts w:ascii="Arial" w:cs="Arial" w:eastAsia="Arial" w:hAnsi="Arial"/>
          <w:color w:val="000000"/>
          <w:sz w:val="22"/>
          <w:szCs w:val="22"/>
        </w:rPr>
        <w:t xml:space="preserve">El consentimiento informado y la protección de datos son obligaciones éticas y legales que deben gestionarse con rigor, especialmente en programas con múltiples entidades participantes.</w:t>
      </w:r>
    </w:p>
    <w:p>
      <w:pPr>
        <w:spacing w:after="120" w:before="120"/>
      </w:pPr>
      <w:r>
        <w:t xml:space="preserve"/>
      </w:r>
    </w:p>
    <w:p>
      <w:pPr>
        <w:pStyle w:val="Heading2"/>
        <w:spacing w:after="160" w:before="280"/>
      </w:pPr>
      <w:r>
        <w:rPr>
          <w:rFonts w:ascii="Arial" w:cs="Arial" w:eastAsia="Arial" w:hAnsi="Arial"/>
          <w:b/>
          <w:bCs/>
          <w:color w:val="1F4E79"/>
          <w:sz w:val="26"/>
          <w:szCs w:val="26"/>
        </w:rPr>
        <w:t xml:space="preserve">Actividades Prácticas — Parte 2</w:t>
      </w:r>
    </w:p>
    <w:p>
      <w:pPr>
        <w:pStyle w:val="Heading3"/>
        <w:spacing w:after="120" w:before="200"/>
      </w:pPr>
      <w:r>
        <w:rPr>
          <w:rFonts w:ascii="Arial" w:cs="Arial" w:eastAsia="Arial" w:hAnsi="Arial"/>
          <w:b/>
          <w:bCs/>
          <w:color w:val="2E75B6"/>
          <w:sz w:val="24"/>
          <w:szCs w:val="24"/>
        </w:rPr>
        <w:t xml:space="preserve">Actividad 2.1 — Análisis de los Principios en la Práctica</w:t>
      </w:r>
    </w:p>
    <w:p>
      <w:pPr>
        <w:spacing w:after="140" w:before="80" w:line="276"/>
        <w:jc w:val="both"/>
      </w:pPr>
      <w:r>
        <w:rPr>
          <w:rFonts w:ascii="Arial" w:cs="Arial" w:eastAsia="Arial" w:hAnsi="Arial"/>
          <w:b w:val="false"/>
          <w:bCs w:val="false"/>
          <w:i w:val="false"/>
          <w:iCs w:val="false"/>
          <w:color w:val="000000"/>
          <w:sz w:val="22"/>
          <w:szCs w:val="22"/>
        </w:rPr>
        <w:t xml:space="preserve">Para cada uno de los seis principios metodológicos del Housing First, describa una situación concreta que haya vivido o que pueda anticipar en su entorno profesional en la que ese principio entraría en tensión con las expectativas institucionales, vecinales o del propio equipo. ¿Cómo respondería desde el modelo HF?</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180"/>
              <w:bottom w:type="dxa" w:w="120"/>
              <w:right w:type="dxa" w:w="180"/>
            </w:tcMar>
          </w:tcPr>
          <w:p>
            <w:pPr>
              <w:spacing w:after="80" w:before="0"/>
            </w:pPr>
            <w:r>
              <w:rPr>
                <w:rFonts w:ascii="Arial" w:cs="Arial" w:eastAsia="Arial" w:hAnsi="Arial"/>
                <w:b/>
                <w:bCs/>
                <w:color w:val="1F4E79"/>
                <w:sz w:val="22"/>
                <w:szCs w:val="22"/>
              </w:rPr>
              <w:t xml:space="preserve">EJEMPLO PARA GUIAR LA ACTIVIDAD</w:t>
            </w:r>
          </w:p>
          <w:p>
            <w:pPr>
              <w:spacing w:after="60" w:before="40" w:line="276"/>
              <w:jc w:val="both"/>
            </w:pPr>
            <w:r>
              <w:rPr>
                <w:rFonts w:ascii="Arial" w:cs="Arial" w:eastAsia="Arial" w:hAnsi="Arial"/>
                <w:color w:val="000000"/>
                <w:sz w:val="21"/>
                <w:szCs w:val="21"/>
              </w:rPr>
              <w:t xml:space="preserve">Principio: Incondicionalidad del alojamiento.</w:t>
            </w:r>
          </w:p>
          <w:p>
            <w:pPr>
              <w:spacing w:after="60" w:before="40" w:line="276"/>
              <w:jc w:val="both"/>
            </w:pPr>
            <w:r>
              <w:rPr>
                <w:rFonts w:ascii="Arial" w:cs="Arial" w:eastAsia="Arial" w:hAnsi="Arial"/>
                <w:color w:val="000000"/>
                <w:sz w:val="21"/>
                <w:szCs w:val="21"/>
              </w:rPr>
              <w:t xml:space="preserve">Situación: El presidente de la comunidad de vecinos llama al técnico de intervención para comunicarle que si la persona del 3º izquierda no deja de recibir visitas nocturnas y de dejar el portal sucio, va a llamar a la policía y al arrendador para que resuelva el contrato.</w:t>
            </w:r>
          </w:p>
          <w:p>
            <w:pPr>
              <w:spacing w:after="60" w:before="40" w:line="276"/>
              <w:jc w:val="both"/>
            </w:pPr>
            <w:r>
              <w:rPr>
                <w:rFonts w:ascii="Arial" w:cs="Arial" w:eastAsia="Arial" w:hAnsi="Arial"/>
                <w:color w:val="000000"/>
                <w:sz w:val="21"/>
                <w:szCs w:val="21"/>
              </w:rPr>
              <w:t xml:space="preserve">Respuesta desde HF: El técnico escucha al presidente, valida su malestar, le explica el programa brevemente y le informa de que trabaja activamente con la persona para mejorar la convivencia. Fija una cita con la persona para trabajar las normas de convivencia, sin amenazas de pérdida de vivienda. Documenta el incidente. Lo lleva a supervisión de equipo para diseñar una estrategia de mediación vecinal. No inicia ningún proceso de resolución del arrendamiento.</w:t>
            </w:r>
          </w:p>
        </w:tc>
      </w:tr>
    </w:tbl>
    <w:p>
      <w:pPr>
        <w:spacing w:after="120" w:before="120"/>
      </w:pPr>
      <w:r>
        <w:t xml:space="preserve"/>
      </w:r>
    </w:p>
    <w:p>
      <w:pPr>
        <w:pStyle w:val="Heading3"/>
        <w:spacing w:after="120" w:before="200"/>
      </w:pPr>
      <w:r>
        <w:rPr>
          <w:rFonts w:ascii="Arial" w:cs="Arial" w:eastAsia="Arial" w:hAnsi="Arial"/>
          <w:b/>
          <w:bCs/>
          <w:color w:val="2E75B6"/>
          <w:sz w:val="24"/>
          <w:szCs w:val="24"/>
        </w:rPr>
        <w:t xml:space="preserve">Actividad 2.2 — Ejercicio de Valoración de Elegibilidad</w:t>
      </w:r>
    </w:p>
    <w:p>
      <w:pPr>
        <w:spacing w:after="140" w:before="80" w:line="276"/>
        <w:jc w:val="both"/>
      </w:pPr>
      <w:r>
        <w:rPr>
          <w:rFonts w:ascii="Arial" w:cs="Arial" w:eastAsia="Arial" w:hAnsi="Arial"/>
          <w:b w:val="false"/>
          <w:bCs w:val="false"/>
          <w:i w:val="false"/>
          <w:iCs w:val="false"/>
          <w:color w:val="000000"/>
          <w:sz w:val="22"/>
          <w:szCs w:val="22"/>
        </w:rPr>
        <w:t xml:space="preserve">A continuación se presentan tres perfiles de personas. Analice si cada una cumple los criterios de elegibilidad de un programa Housing First clásico y justifique su respuesta:</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4500"/>
        <w:gridCol w:w="3326"/>
      </w:tblGrid>
      <w:tr>
        <w:trPr>
          <w:tblHeader/>
        </w:trP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Perfil</w:t>
            </w:r>
          </w:p>
        </w:tc>
        <w:tc>
          <w:tcPr>
            <w:tcW w:type="dxa" w:w="4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Datos relevantes</w:t>
            </w:r>
          </w:p>
        </w:tc>
        <w:tc>
          <w:tcPr>
            <w:tcW w:type="dxa" w:w="33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¿Elegible? ¿Por qué?</w:t>
            </w:r>
          </w:p>
        </w:tc>
      </w:tr>
      <w:tr>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Perfil A</w:t>
            </w:r>
          </w:p>
        </w:tc>
        <w:tc>
          <w:tcPr>
            <w:tcW w:type="dxa" w:w="4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Mujer de 52 años. Lleva 8 meses durmiendo en el portal de su hermana tras ruptura por violencia de pareja. Tiene diagnóstico de depresión mayor. No consume sustancias. Tiene dos hijos menores bajo tutela de la Administración.</w:t>
            </w:r>
          </w:p>
        </w:tc>
        <w:tc>
          <w:tcPr>
            <w:tcW w:type="dxa" w:w="33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Perfil B</w:t>
            </w:r>
          </w:p>
        </w:tc>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Hombre de 39 años. Lleva 4 años entre calle y albergues de emergencia. Consumo activo de heroína y alcohol. Diagnóstico de esquizofrenia paranoide. Rechaza todos los recursos que ofrezcan normas de abstinencia. Tiene antecedentes penales por robo.</w:t>
            </w:r>
          </w:p>
        </w:tc>
        <w:tc>
          <w:tcPr>
            <w:tcW w:type="dxa" w:w="33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
            </w:r>
          </w:p>
        </w:tc>
      </w:tr>
      <w:tr>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Perfil C</w:t>
            </w:r>
          </w:p>
        </w:tc>
        <w:tc>
          <w:tcPr>
            <w:tcW w:type="dxa" w:w="4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Hombre de 28 años. Lleva 14 meses sin alojamiento estable, alternando calle y pensiones. Episodio reciente de descompensación psicótica. Situación administrativa irregular. Sin ingresos. Sin red de apoyo.</w:t>
            </w:r>
          </w:p>
        </w:tc>
        <w:tc>
          <w:tcPr>
            <w:tcW w:type="dxa" w:w="33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
            </w:r>
          </w:p>
        </w:tc>
      </w:tr>
    </w:tbl>
    <w:p>
      <w:pPr>
        <w:spacing w:after="120" w:before="120"/>
      </w:pPr>
      <w:r>
        <w:t xml:space="preserve"/>
      </w:r>
    </w:p>
    <w:p>
      <w:pPr>
        <w:pStyle w:val="Heading3"/>
        <w:spacing w:after="120" w:before="200"/>
      </w:pPr>
      <w:r>
        <w:rPr>
          <w:rFonts w:ascii="Arial" w:cs="Arial" w:eastAsia="Arial" w:hAnsi="Arial"/>
          <w:b/>
          <w:bCs/>
          <w:color w:val="2E75B6"/>
          <w:sz w:val="24"/>
          <w:szCs w:val="24"/>
        </w:rPr>
        <w:t xml:space="preserve">Actividad 2.3 — Diseño de una Primera Entrevista</w:t>
      </w:r>
    </w:p>
    <w:p>
      <w:pPr>
        <w:spacing w:after="140" w:before="80" w:line="276"/>
        <w:jc w:val="both"/>
      </w:pPr>
      <w:r>
        <w:rPr>
          <w:rFonts w:ascii="Arial" w:cs="Arial" w:eastAsia="Arial" w:hAnsi="Arial"/>
          <w:b w:val="false"/>
          <w:bCs w:val="false"/>
          <w:i w:val="false"/>
          <w:iCs w:val="false"/>
          <w:color w:val="000000"/>
          <w:sz w:val="22"/>
          <w:szCs w:val="22"/>
        </w:rPr>
        <w:t xml:space="preserve">Diseñe el guión de una primera entrevista de valoración con una persona candidata a un programa Housing First. El guión debe incluir: apertura y presentación del programa, exploración de la trayectoria de sinhogarismo, exploración de necesidades de apoyo, presentación de los derechos y obligaciones del programa, obtención del consentimiento informado. Incluya al menos tres preguntas específicas para cada bloque, formuladas desde la perspectiva de la entrevista motivacional.</w:t>
      </w:r>
    </w:p>
    <w:p>
      <w:pPr>
        <w:pStyle w:val="Heading3"/>
        <w:spacing w:after="120" w:before="200"/>
      </w:pPr>
      <w:r>
        <w:rPr>
          <w:rFonts w:ascii="Arial" w:cs="Arial" w:eastAsia="Arial" w:hAnsi="Arial"/>
          <w:b/>
          <w:bCs/>
          <w:color w:val="2E75B6"/>
          <w:sz w:val="24"/>
          <w:szCs w:val="24"/>
        </w:rPr>
        <w:t xml:space="preserve">Actividad 2.4 — Reflexión sobre Dilemas Éticos</w:t>
      </w:r>
    </w:p>
    <w:p>
      <w:pPr>
        <w:spacing w:after="140" w:before="80" w:line="276"/>
        <w:jc w:val="both"/>
      </w:pPr>
      <w:r>
        <w:rPr>
          <w:rFonts w:ascii="Arial" w:cs="Arial" w:eastAsia="Arial" w:hAnsi="Arial"/>
          <w:b w:val="false"/>
          <w:bCs w:val="false"/>
          <w:i w:val="false"/>
          <w:iCs w:val="false"/>
          <w:color w:val="000000"/>
          <w:sz w:val="22"/>
          <w:szCs w:val="22"/>
        </w:rPr>
        <w:t xml:space="preserve">Lea la siguiente situación y responda a las preguntas planteadas: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180"/>
              <w:bottom w:type="dxa" w:w="120"/>
              <w:right w:type="dxa" w:w="180"/>
            </w:tcMar>
          </w:tcPr>
          <w:p>
            <w:pPr>
              <w:spacing w:after="80" w:before="0"/>
            </w:pPr>
            <w:r>
              <w:rPr>
                <w:rFonts w:ascii="Arial" w:cs="Arial" w:eastAsia="Arial" w:hAnsi="Arial"/>
                <w:b/>
                <w:bCs/>
                <w:color w:val="1F4E79"/>
                <w:sz w:val="22"/>
                <w:szCs w:val="22"/>
              </w:rPr>
              <w:t xml:space="preserve">CASO: DILEMA ÉTICO EN INTERVENCIÓN HF</w:t>
            </w:r>
          </w:p>
          <w:p>
            <w:pPr>
              <w:spacing w:after="60" w:before="40" w:line="276"/>
              <w:jc w:val="both"/>
            </w:pPr>
            <w:r>
              <w:rPr>
                <w:rFonts w:ascii="Arial" w:cs="Arial" w:eastAsia="Arial" w:hAnsi="Arial"/>
                <w:color w:val="000000"/>
                <w:sz w:val="21"/>
                <w:szCs w:val="21"/>
              </w:rPr>
              <w:t xml:space="preserve">Un participante del programa, con diagnóstico de trastorno bipolar en fase maníaca activa, lleva dos semanas sin dormir, ha regalado todos sus muebles a vecinos del barrio y ha gastado en dos días la totalidad de su prestación económica mensual. El técnico de intervención le visita y observa que el domicilio está vacío de enseres, con basura acumulada, y que la persona está en un estado de agitación intensa. La persona rechaza cualquier intervención médica: 'Estoy mejor que nunca, no necesito a ningún médico.'</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PREGUNTAS: 1) ¿Cuál es el margen de actuación del equipo respetando la autonomía de la persona? 2) ¿En qué momento, si lo hubiera, estaría justificado activar un protocolo de intervención sin el consentimiento de la persona? 3) ¿Qué recursos comunitarios debe conocer el técnico para afrontar esta situación? 4) ¿Cómo se gestiona el impacto emocional de esta situación en el equipo?</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Bibliografía Complementaria — Parte 2</w:t>
      </w:r>
    </w:p>
    <w:p>
      <w:pPr>
        <w:pStyle w:val="ListParagraph"/>
        <w:numPr>
          <w:ilvl w:val="0"/>
          <w:numId w:val="2"/>
        </w:numPr>
        <w:spacing w:after="80" w:before="60" w:line="276"/>
      </w:pPr>
      <w:r>
        <w:rPr>
          <w:rFonts w:ascii="Arial" w:cs="Arial" w:eastAsia="Arial" w:hAnsi="Arial"/>
          <w:color w:val="000000"/>
          <w:sz w:val="22"/>
          <w:szCs w:val="22"/>
        </w:rPr>
        <w:t xml:space="preserve">Miller, W. R. y Rollnick, S. (2015). La Entrevista Motivacional. Paidós.</w:t>
      </w:r>
    </w:p>
    <w:p>
      <w:pPr>
        <w:pStyle w:val="ListParagraph"/>
        <w:numPr>
          <w:ilvl w:val="0"/>
          <w:numId w:val="2"/>
        </w:numPr>
        <w:spacing w:after="80" w:before="60" w:line="276"/>
      </w:pPr>
      <w:r>
        <w:rPr>
          <w:rFonts w:ascii="Arial" w:cs="Arial" w:eastAsia="Arial" w:hAnsi="Arial"/>
          <w:color w:val="000000"/>
          <w:sz w:val="22"/>
          <w:szCs w:val="22"/>
        </w:rPr>
        <w:t xml:space="preserve">Davidson, L., Rakfeldt, J. y Strauss, J. (2010). The Roots of the Recovery Movement in Psychiatry. Wiley.</w:t>
      </w:r>
    </w:p>
    <w:p>
      <w:pPr>
        <w:pStyle w:val="ListParagraph"/>
        <w:numPr>
          <w:ilvl w:val="0"/>
          <w:numId w:val="2"/>
        </w:numPr>
        <w:spacing w:after="80" w:before="60" w:line="276"/>
      </w:pPr>
      <w:r>
        <w:rPr>
          <w:rFonts w:ascii="Arial" w:cs="Arial" w:eastAsia="Arial" w:hAnsi="Arial"/>
          <w:color w:val="000000"/>
          <w:sz w:val="22"/>
          <w:szCs w:val="22"/>
        </w:rPr>
        <w:t xml:space="preserve">Marlatt, G. A. y Gordon, J. R. (1985). Relapse Prevention. Guilford Press.</w:t>
      </w:r>
    </w:p>
    <w:p>
      <w:pPr>
        <w:pStyle w:val="ListParagraph"/>
        <w:numPr>
          <w:ilvl w:val="0"/>
          <w:numId w:val="2"/>
        </w:numPr>
        <w:spacing w:after="80" w:before="60" w:line="276"/>
      </w:pPr>
      <w:r>
        <w:rPr>
          <w:rFonts w:ascii="Arial" w:cs="Arial" w:eastAsia="Arial" w:hAnsi="Arial"/>
          <w:color w:val="000000"/>
          <w:sz w:val="22"/>
          <w:szCs w:val="22"/>
        </w:rPr>
        <w:t xml:space="preserve">EMCDDA (2017). Health and Social Responses to Drug Problems: A European Guide. European Monitoring Centre for Drugs and Drug Addiction.</w:t>
      </w:r>
    </w:p>
    <w:p>
      <w:pPr>
        <w:pStyle w:val="ListParagraph"/>
        <w:numPr>
          <w:ilvl w:val="0"/>
          <w:numId w:val="2"/>
        </w:numPr>
        <w:spacing w:after="80" w:before="60" w:line="276"/>
      </w:pPr>
      <w:r>
        <w:rPr>
          <w:rFonts w:ascii="Arial" w:cs="Arial" w:eastAsia="Arial" w:hAnsi="Arial"/>
          <w:color w:val="000000"/>
          <w:sz w:val="22"/>
          <w:szCs w:val="22"/>
        </w:rPr>
        <w:t xml:space="preserve">Agencia Española de Protección de Datos (2022). Guía para el cumplimiento del deber de informar. AEPD.</w:t>
      </w:r>
    </w:p>
    <w:p>
      <w:pPr>
        <w:pStyle w:val="ListParagraph"/>
        <w:numPr>
          <w:ilvl w:val="0"/>
          <w:numId w:val="2"/>
        </w:numPr>
        <w:spacing w:after="80" w:before="60" w:line="276"/>
      </w:pPr>
      <w:r>
        <w:rPr>
          <w:rFonts w:ascii="Arial" w:cs="Arial" w:eastAsia="Arial" w:hAnsi="Arial"/>
          <w:color w:val="000000"/>
          <w:sz w:val="22"/>
          <w:szCs w:val="22"/>
        </w:rPr>
        <w:t xml:space="preserve">FEANTSA (2017). Housing First Guide Europe. Edición en castellano disponible en la web de FEANTSA.</w:t>
      </w:r>
    </w:p>
    <w:p>
      <w:pPr>
        <w:pStyle w:val="ListParagraph"/>
        <w:numPr>
          <w:ilvl w:val="0"/>
          <w:numId w:val="2"/>
        </w:numPr>
        <w:spacing w:after="80" w:before="60" w:line="276"/>
      </w:pPr>
      <w:r>
        <w:rPr>
          <w:rFonts w:ascii="Arial" w:cs="Arial" w:eastAsia="Arial" w:hAnsi="Arial"/>
          <w:color w:val="000000"/>
          <w:sz w:val="22"/>
          <w:szCs w:val="22"/>
        </w:rPr>
        <w:t xml:space="preserve">Ministerio de Sanidad (2020). Estrategia en Salud Mental del Sistema Nacional de Salud 2022-2026.</w:t>
      </w:r>
    </w:p>
    <w:p>
      <w:pPr>
        <w:spacing w:after="120" w:before="120"/>
      </w:pPr>
      <w:r>
        <w:t xml:space="preserve"/>
      </w:r>
    </w:p>
    <w:p>
      <w:r>
        <w:br w:type="page"/>
      </w:r>
    </w:p>
    <w:p>
      <w:pPr>
        <w:spacing w:after="100" w:before="400"/>
        <w:jc w:val="center"/>
      </w:pPr>
      <w:r>
        <w:rPr>
          <w:rFonts w:ascii="Arial" w:cs="Arial" w:eastAsia="Arial" w:hAnsi="Arial"/>
          <w:b/>
          <w:bCs/>
          <w:i/>
          <w:iCs/>
          <w:color w:val="2E75B6"/>
          <w:sz w:val="22"/>
          <w:szCs w:val="22"/>
        </w:rPr>
        <w:t xml:space="preserve">— Fin de la Parte 2 —</w:t>
      </w:r>
    </w:p>
    <w:p>
      <w:pPr>
        <w:spacing w:after="200" w:before="100"/>
        <w:jc w:val="center"/>
      </w:pPr>
      <w:r>
        <w:rPr>
          <w:rFonts w:ascii="Arial" w:cs="Arial" w:eastAsia="Arial" w:hAnsi="Arial"/>
          <w:i/>
          <w:iCs/>
          <w:color w:val="666666"/>
          <w:sz w:val="22"/>
          <w:szCs w:val="22"/>
        </w:rPr>
        <w:t xml:space="preserve">Continúa en la Parte 3: Gestión del Programa y la Vivienda</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6E4F0" w:sz="2" w:space="1"/>
      </w:pBdr>
      <w:jc w:val="center"/>
    </w:pPr>
    <w:r>
      <w:rPr>
        <w:rFonts w:ascii="Arial" w:cs="Arial" w:eastAsia="Arial" w:hAnsi="Arial"/>
        <w:color w:val="888888"/>
        <w:sz w:val="18"/>
        <w:szCs w:val="18"/>
      </w:rPr>
      <w:t xml:space="preserve">Página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de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1"/>
      </w:pBdr>
    </w:pPr>
    <w:r>
      <w:rPr>
        <w:rFonts w:ascii="Arial" w:cs="Arial" w:eastAsia="Arial" w:hAnsi="Arial"/>
        <w:color w:val="1F4E79"/>
        <w:sz w:val="18"/>
        <w:szCs w:val="18"/>
      </w:rPr>
      <w:t xml:space="preserve">CURSO DE ESPECIALIZACIÓN: METODOLOGÍA HOUSING FIRST · PARTE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80" w:before="60"/>
        <w:ind w:left="540" w:hanging="280"/>
      </w:pPr>
      <w:rPr>
        <w:rFonts w:ascii="Arial" w:cs="Arial" w:eastAsia="Arial" w:hAnsi="Arial"/>
        <w:sz w:val="22"/>
        <w:szCs w:val="22"/>
      </w:rPr>
    </w:lvl>
  </w:abstractNum>
  <w:abstractNum w:abstractNumId="3" w15:restartNumberingAfterBreak="0">
    <w:multiLevelType w:val="hybridMultilevel"/>
    <w:lvl w:ilvl="0" w15:tentative="1">
      <w:start w:val="1"/>
      <w:numFmt w:val="decimal"/>
      <w:lvlText w:val="%1."/>
      <w:lvlJc w:val="left"/>
      <w:pPr>
        <w:spacing w:after="80" w:before="60"/>
        <w:ind w:left="540" w:hanging="280"/>
      </w:pPr>
      <w:rPr>
        <w:rFonts w:ascii="Arial" w:cs="Arial" w:eastAsia="Arial" w:hAnsi="Arial"/>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hd w:fill="1F4E79" w:val="clear"/>
      <w:spacing w:after="240" w:before="0"/>
      <w:ind w:left="360" w:right="360"/>
      <w:outlineLvl w:val="0"/>
    </w:pPr>
    <w:rPr>
      <w:rFonts w:ascii="Arial" w:cs="Arial" w:eastAsia="Arial" w:hAnsi="Arial"/>
      <w:b/>
      <w:bCs/>
      <w:color w:val="FFFFFF"/>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1F4E79"/>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2026-03-05T18:40:05.443Z</dcterms:created>
  <dcterms:modified xsi:type="dcterms:W3CDTF">2026-03-05T18:40:05.444Z</dcterms:modified>
</cp:coreProperties>
</file>

<file path=docProps/custom.xml><?xml version="1.0" encoding="utf-8"?>
<Properties xmlns="http://schemas.openxmlformats.org/officeDocument/2006/custom-properties" xmlns:vt="http://schemas.openxmlformats.org/officeDocument/2006/docPropsVTypes"/>
</file>