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200"/>
        <w:jc w:val="center"/>
      </w:pPr>
      <w:r>
        <w:rPr>
          <w:rFonts w:ascii="Arial" w:cs="Arial" w:eastAsia="Arial" w:hAnsi="Arial"/>
          <w:b/>
          <w:bCs/>
          <w:color w:val="1F4E79"/>
          <w:sz w:val="28"/>
          <w:szCs w:val="28"/>
        </w:rPr>
        <w:t xml:space="preserve">CURSO DE ESPECIALIZACIÓN</w:t>
      </w:r>
    </w:p>
    <w:p>
      <w:pPr>
        <w:spacing w:after="400" w:before="100"/>
        <w:jc w:val="center"/>
      </w:pPr>
      <w:r>
        <w:rPr>
          <w:rFonts w:ascii="Arial" w:cs="Arial" w:eastAsia="Arial" w:hAnsi="Arial"/>
          <w:b/>
          <w:bCs/>
          <w:color w:val="1F4E79"/>
          <w:sz w:val="48"/>
          <w:szCs w:val="48"/>
        </w:rPr>
        <w:t xml:space="preserve">METODOLOGÍA HOUSING FIRST</w:t>
      </w:r>
    </w:p>
    <w:p>
      <w:pPr>
        <w:spacing w:after="200" w:before="0"/>
        <w:jc w:val="center"/>
      </w:pPr>
      <w:r>
        <w:rPr>
          <w:rFonts w:ascii="Arial" w:cs="Arial" w:eastAsia="Arial" w:hAnsi="Arial"/>
          <w:i/>
          <w:iCs/>
          <w:color w:val="2E75B6"/>
          <w:sz w:val="26"/>
          <w:szCs w:val="26"/>
        </w:rPr>
        <w:t xml:space="preserve">Una aproximación práctica desde la coordinación de proyectos</w:t>
      </w:r>
    </w:p>
    <w:p>
      <w:pPr>
        <w:pBdr>
          <w:bottom w:val="single" w:color="2E75B6" w:sz="4" w:space="1"/>
        </w:pBdr>
        <w:spacing w:after="200" w:before="200"/>
      </w:pPr>
      <w:r>
        <w:t xml:space="preserve"/>
      </w:r>
    </w:p>
    <w:p>
      <w:pPr>
        <w:spacing w:after="100" w:before="300"/>
        <w:jc w:val="center"/>
      </w:pPr>
      <w:r>
        <w:rPr>
          <w:rFonts w:ascii="Arial" w:cs="Arial" w:eastAsia="Arial" w:hAnsi="Arial"/>
          <w:b/>
          <w:bCs/>
          <w:color w:val="2E75B6"/>
          <w:sz w:val="28"/>
          <w:szCs w:val="28"/>
        </w:rPr>
        <w:t xml:space="preserve">PARTE 4</w:t>
      </w:r>
    </w:p>
    <w:p>
      <w:pPr>
        <w:spacing w:after="600" w:before="0"/>
        <w:jc w:val="center"/>
      </w:pPr>
      <w:r>
        <w:rPr>
          <w:rFonts w:ascii="Arial" w:cs="Arial" w:eastAsia="Arial" w:hAnsi="Arial"/>
          <w:b/>
          <w:bCs/>
          <w:color w:val="000000"/>
          <w:sz w:val="38"/>
          <w:szCs w:val="38"/>
        </w:rPr>
        <w:t xml:space="preserve">INTERVENCIÓN PSICOSOCIAL</w:t>
      </w:r>
    </w:p>
    <w:p>
      <w:pPr>
        <w:spacing w:after="100" w:before="0"/>
        <w:jc w:val="center"/>
      </w:pPr>
      <w:r>
        <w:rPr>
          <w:rFonts w:ascii="Arial" w:cs="Arial" w:eastAsia="Arial" w:hAnsi="Arial"/>
          <w:color w:val="666666"/>
          <w:sz w:val="22"/>
          <w:szCs w:val="22"/>
        </w:rPr>
        <w:t xml:space="preserve">Administración Local · Servicios Sociales · Desarrollo Local</w:t>
      </w:r>
    </w:p>
    <w:p>
      <w:pPr>
        <w:spacing w:after="0" w:before="100"/>
        <w:jc w:val="center"/>
      </w:pPr>
      <w:r>
        <w:rPr>
          <w:rFonts w:ascii="Arial" w:cs="Arial" w:eastAsia="Arial" w:hAnsi="Arial"/>
          <w:color w:val="666666"/>
          <w:sz w:val="22"/>
          <w:szCs w:val="22"/>
        </w:rPr>
        <w:t xml:space="preserve">Comunidad de Madrid · 2024</w:t>
      </w:r>
    </w:p>
    <w:p>
      <w:r>
        <w:br w:type="page"/>
      </w:r>
    </w:p>
    <w:p>
      <w:pPr>
        <w:pageBreakBefore/>
        <w:spacing w:after="200" w:before="0"/>
        <w:jc w:val="center"/>
      </w:pPr>
      <w:r>
        <w:rPr>
          <w:rFonts w:ascii="Arial" w:cs="Arial" w:eastAsia="Arial" w:hAnsi="Arial"/>
          <w:b/>
          <w:bCs/>
          <w:color w:val="1F4E79"/>
          <w:sz w:val="26"/>
          <w:szCs w:val="26"/>
        </w:rPr>
        <w:t xml:space="preserve">ÍNDICE DE CONTENIDOS — PARTE 4</w:t>
      </w:r>
    </w:p>
    <w:sdt>
      <w:sdtPr>
        <w:alias w:val="Índice"/>
      </w:sdtPr>
      <w:sdtContent>
        <w:p>
          <w:r>
            <w:fldChar w:fldCharType="begin" w:dirty="true"/>
            <w:instrText xml:space="preserve">TOC \h \o "1-3"</w:instrText>
            <w:fldChar w:fldCharType="separate"/>
          </w:r>
        </w:p>
        <w:p>
          <w:r>
            <w:fldChar w:fldCharType="end"/>
          </w:r>
        </w:p>
      </w:sdtContent>
    </w:sdt>
    <w:p>
      <w:r>
        <w:br w:type="page"/>
      </w:r>
    </w:p>
    <w:p>
      <w:pPr>
        <w:pStyle w:val="Heading1"/>
        <w:pageBreakBefore/>
        <w:spacing w:after="240" w:before="0"/>
      </w:pPr>
      <w:r>
        <w:rPr>
          <w:rFonts w:ascii="Arial" w:cs="Arial" w:eastAsia="Arial" w:hAnsi="Arial"/>
          <w:b/>
          <w:bCs/>
          <w:color w:val="FFFFFF"/>
          <w:sz w:val="32"/>
          <w:szCs w:val="32"/>
        </w:rPr>
        <w:t xml:space="preserve">MÓDULO 14: FASES DE LA INTERVENCIÓN PSICOSOCIAL</w:t>
      </w:r>
    </w:p>
    <w:p>
      <w:pPr>
        <w:pStyle w:val="Heading2"/>
        <w:spacing w:after="160" w:before="280"/>
      </w:pPr>
      <w:r>
        <w:rPr>
          <w:rFonts w:ascii="Arial" w:cs="Arial" w:eastAsia="Arial" w:hAnsi="Arial"/>
          <w:b/>
          <w:bCs/>
          <w:color w:val="1F4E79"/>
          <w:sz w:val="26"/>
          <w:szCs w:val="26"/>
        </w:rPr>
        <w:t xml:space="preserve">14.1. Estructura General de la Intervención</w:t>
      </w:r>
    </w:p>
    <w:p>
      <w:pPr>
        <w:spacing w:after="140" w:before="80" w:line="276"/>
        <w:jc w:val="both"/>
      </w:pPr>
      <w:r>
        <w:rPr>
          <w:rFonts w:ascii="Arial" w:cs="Arial" w:eastAsia="Arial" w:hAnsi="Arial"/>
          <w:b w:val="false"/>
          <w:bCs w:val="false"/>
          <w:i w:val="false"/>
          <w:iCs w:val="false"/>
          <w:color w:val="000000"/>
          <w:sz w:val="22"/>
          <w:szCs w:val="22"/>
        </w:rPr>
        <w:t xml:space="preserve">La intervención psicosocial en Housing First no es un proceso lineal con pasos fijos y obligatorios. Es un acompañamiento flexible, adaptado al ritmo y las necesidades de cada persona, que el equipo va ajustando continuamente a lo largo de la relación. Sin embargo, existe una arquitectura de tres fases que orienta la intensidad y el tipo de intervención en cada momento del proceso.</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2400"/>
        <w:gridCol w:w="2500"/>
        <w:gridCol w:w="3526"/>
      </w:tblGrid>
      <w:tr>
        <w:trPr>
          <w:tblHeader/>
        </w:trPr>
        <w:tc>
          <w:tcPr>
            <w:tcW w:type="dxa" w:w="6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Fase</w:t>
            </w:r>
          </w:p>
        </w:tc>
        <w:tc>
          <w:tcPr>
            <w:tcW w:type="dxa" w:w="24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Denominación</w:t>
            </w:r>
          </w:p>
        </w:tc>
        <w:tc>
          <w:tcPr>
            <w:tcW w:type="dxa" w:w="2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Duración orientativa</w:t>
            </w:r>
          </w:p>
        </w:tc>
        <w:tc>
          <w:tcPr>
            <w:tcW w:type="dxa" w:w="35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Objetivo central</w:t>
            </w:r>
          </w:p>
        </w:tc>
      </w:tr>
      <w:tr>
        <w:tc>
          <w:tcPr>
            <w:tcW w:type="dxa" w:w="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1</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Acogida</w:t>
            </w:r>
          </w:p>
        </w:tc>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Primeras 4-12 semanas</w:t>
            </w:r>
          </w:p>
        </w:tc>
        <w:tc>
          <w:tcPr>
            <w:tcW w:type="dxa" w:w="35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Establecer vínculo, conocer la persona, resolver necesidades inmediatas, consolidar el acceso a la vivienda</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2</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Intervención psicosocial</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Variable — meses a años</w:t>
            </w:r>
          </w:p>
        </w:tc>
        <w:tc>
          <w:tcPr>
            <w:tcW w:type="dxa" w:w="35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Trabajo en las áreas del plan individualizado. Acompañamiento en la recuperación y la integración</w:t>
            </w:r>
          </w:p>
        </w:tc>
      </w:tr>
      <w:tr>
        <w:tc>
          <w:tcPr>
            <w:tcW w:type="dxa" w:w="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3</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Salida del programa</w:t>
            </w:r>
          </w:p>
        </w:tc>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Últimas 8-16 semanas (salida planificada)</w:t>
            </w:r>
          </w:p>
        </w:tc>
        <w:tc>
          <w:tcPr>
            <w:tcW w:type="dxa" w:w="35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Consolidar la autonomía, transferir apoyos a recursos naturales y comunitarios, garantizar la continuidad del alojamiento</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14.2. Fase 1: Acogida</w:t>
      </w:r>
    </w:p>
    <w:p>
      <w:pPr>
        <w:spacing w:after="140" w:before="80" w:line="276"/>
        <w:jc w:val="both"/>
      </w:pPr>
      <w:r>
        <w:rPr>
          <w:rFonts w:ascii="Arial" w:cs="Arial" w:eastAsia="Arial" w:hAnsi="Arial"/>
          <w:b w:val="false"/>
          <w:bCs w:val="false"/>
          <w:i w:val="false"/>
          <w:iCs w:val="false"/>
          <w:color w:val="000000"/>
          <w:sz w:val="22"/>
          <w:szCs w:val="22"/>
        </w:rPr>
        <w:t xml:space="preserve">La acogida es el momento más delicado de toda la relación entre el técnico y la persona. Muchos de los participantes llegan al programa después de años de desconfianza acumulada hacia los servicios sociales, de experiencias de expulsión de recursos, de promesas incumplidas y de intervenciones que no respetaron su autonomía. La manera en que el equipo gestiona este primer contacto determinará en gran medida la calidad de la relación durante todo el proceso.</w:t>
      </w:r>
    </w:p>
    <w:p>
      <w:pPr>
        <w:pStyle w:val="Heading3"/>
        <w:spacing w:after="120" w:before="200"/>
      </w:pPr>
      <w:r>
        <w:rPr>
          <w:rFonts w:ascii="Arial" w:cs="Arial" w:eastAsia="Arial" w:hAnsi="Arial"/>
          <w:b/>
          <w:bCs/>
          <w:color w:val="2E75B6"/>
          <w:sz w:val="24"/>
          <w:szCs w:val="24"/>
        </w:rPr>
        <w:t xml:space="preserve">Objetivos de la Fase de Acogida</w:t>
      </w:r>
    </w:p>
    <w:p>
      <w:pPr>
        <w:pStyle w:val="ListParagraph"/>
        <w:numPr>
          <w:ilvl w:val="0"/>
          <w:numId w:val="2"/>
        </w:numPr>
        <w:spacing w:after="80" w:before="60" w:line="276"/>
      </w:pPr>
      <w:r>
        <w:rPr>
          <w:rFonts w:ascii="Arial" w:cs="Arial" w:eastAsia="Arial" w:hAnsi="Arial"/>
          <w:color w:val="000000"/>
          <w:sz w:val="22"/>
          <w:szCs w:val="22"/>
        </w:rPr>
        <w:t xml:space="preserve">Construir una relación de confianza genuina, sin condiciones, desde el primer contacto.</w:t>
      </w:r>
    </w:p>
    <w:p>
      <w:pPr>
        <w:pStyle w:val="ListParagraph"/>
        <w:numPr>
          <w:ilvl w:val="0"/>
          <w:numId w:val="2"/>
        </w:numPr>
        <w:spacing w:after="80" w:before="60" w:line="276"/>
      </w:pPr>
      <w:r>
        <w:rPr>
          <w:rFonts w:ascii="Arial" w:cs="Arial" w:eastAsia="Arial" w:hAnsi="Arial"/>
          <w:color w:val="000000"/>
          <w:sz w:val="22"/>
          <w:szCs w:val="22"/>
        </w:rPr>
        <w:t xml:space="preserve">Conocer a la persona: su historia, sus necesidades, sus fortalezas, sus miedos, sus esperanzas.</w:t>
      </w:r>
    </w:p>
    <w:p>
      <w:pPr>
        <w:pStyle w:val="ListParagraph"/>
        <w:numPr>
          <w:ilvl w:val="0"/>
          <w:numId w:val="2"/>
        </w:numPr>
        <w:spacing w:after="80" w:before="60" w:line="276"/>
      </w:pPr>
      <w:r>
        <w:rPr>
          <w:rFonts w:ascii="Arial" w:cs="Arial" w:eastAsia="Arial" w:hAnsi="Arial"/>
          <w:color w:val="000000"/>
          <w:sz w:val="22"/>
          <w:szCs w:val="22"/>
        </w:rPr>
        <w:t xml:space="preserve">Resolver las necesidades más urgentes: documentación, acceso sanitario, situación económica básica.</w:t>
      </w:r>
    </w:p>
    <w:p>
      <w:pPr>
        <w:pStyle w:val="ListParagraph"/>
        <w:numPr>
          <w:ilvl w:val="0"/>
          <w:numId w:val="2"/>
        </w:numPr>
        <w:spacing w:after="80" w:before="60" w:line="276"/>
      </w:pPr>
      <w:r>
        <w:rPr>
          <w:rFonts w:ascii="Arial" w:cs="Arial" w:eastAsia="Arial" w:hAnsi="Arial"/>
          <w:color w:val="000000"/>
          <w:sz w:val="22"/>
          <w:szCs w:val="22"/>
        </w:rPr>
        <w:t xml:space="preserve">Acompañar el proceso de acceso a la vivienda: visitas a pisos, selección, mudanza, primeros días.</w:t>
      </w:r>
    </w:p>
    <w:p>
      <w:pPr>
        <w:pStyle w:val="ListParagraph"/>
        <w:numPr>
          <w:ilvl w:val="0"/>
          <w:numId w:val="2"/>
        </w:numPr>
        <w:spacing w:after="80" w:before="60" w:line="276"/>
      </w:pPr>
      <w:r>
        <w:rPr>
          <w:rFonts w:ascii="Arial" w:cs="Arial" w:eastAsia="Arial" w:hAnsi="Arial"/>
          <w:color w:val="000000"/>
          <w:sz w:val="22"/>
          <w:szCs w:val="22"/>
        </w:rPr>
        <w:t xml:space="preserve">Iniciar el plan de trabajo con objetivos acordados, pero sin agobiarlo con demasiados compromisos al principio.</w:t>
      </w:r>
    </w:p>
    <w:p>
      <w:pPr>
        <w:pStyle w:val="ListParagraph"/>
        <w:numPr>
          <w:ilvl w:val="0"/>
          <w:numId w:val="2"/>
        </w:numPr>
        <w:spacing w:after="80" w:before="60" w:line="276"/>
      </w:pPr>
      <w:r>
        <w:rPr>
          <w:rFonts w:ascii="Arial" w:cs="Arial" w:eastAsia="Arial" w:hAnsi="Arial"/>
          <w:color w:val="000000"/>
          <w:sz w:val="22"/>
          <w:szCs w:val="22"/>
        </w:rPr>
        <w:t xml:space="preserve">Presentar al equipo y a los recursos comunitarios de referencia de forma progresiva.</w:t>
      </w:r>
    </w:p>
    <w:p>
      <w:pPr>
        <w:pStyle w:val="Heading3"/>
        <w:spacing w:after="120" w:before="200"/>
      </w:pPr>
      <w:r>
        <w:rPr>
          <w:rFonts w:ascii="Arial" w:cs="Arial" w:eastAsia="Arial" w:hAnsi="Arial"/>
          <w:b/>
          <w:bCs/>
          <w:color w:val="2E75B6"/>
          <w:sz w:val="24"/>
          <w:szCs w:val="24"/>
        </w:rPr>
        <w:t xml:space="preserve">Las Primeras 72 Horas: el Momento de la Llegada a la Vivienda</w:t>
      </w:r>
    </w:p>
    <w:p>
      <w:pPr>
        <w:spacing w:after="140" w:before="80" w:line="276"/>
        <w:jc w:val="both"/>
      </w:pPr>
      <w:r>
        <w:rPr>
          <w:rFonts w:ascii="Arial" w:cs="Arial" w:eastAsia="Arial" w:hAnsi="Arial"/>
          <w:b w:val="false"/>
          <w:bCs w:val="false"/>
          <w:i w:val="false"/>
          <w:iCs w:val="false"/>
          <w:color w:val="000000"/>
          <w:sz w:val="22"/>
          <w:szCs w:val="22"/>
        </w:rPr>
        <w:t xml:space="preserve">El día de la mudanza es uno de los hitos más significativos del proceso. Para muchas personas participantes, es la primera vez en años que tienen una llave propia, un espacio íntimo, una puerta que pueden cerrar desde dentro. El equipo debe gestionar este momento con cuidado:</w:t>
      </w:r>
    </w:p>
    <w:p>
      <w:pPr>
        <w:pStyle w:val="ListParagraph"/>
        <w:numPr>
          <w:ilvl w:val="0"/>
          <w:numId w:val="2"/>
        </w:numPr>
        <w:spacing w:after="80" w:before="60" w:line="276"/>
      </w:pPr>
      <w:r>
        <w:rPr>
          <w:rFonts w:ascii="Arial" w:cs="Arial" w:eastAsia="Arial" w:hAnsi="Arial"/>
          <w:color w:val="000000"/>
          <w:sz w:val="22"/>
          <w:szCs w:val="22"/>
        </w:rPr>
        <w:t xml:space="preserve">Presencia del técnico de referencia durante la llegada: no para supervisar, sino para acompañar. La primera vez en la vivienda puede generar emociones muy intensas, desde alegría hasta angustia o desconcierto.</w:t>
      </w:r>
    </w:p>
    <w:p>
      <w:pPr>
        <w:pStyle w:val="ListParagraph"/>
        <w:numPr>
          <w:ilvl w:val="0"/>
          <w:numId w:val="2"/>
        </w:numPr>
        <w:spacing w:after="80" w:before="60" w:line="276"/>
      </w:pPr>
      <w:r>
        <w:rPr>
          <w:rFonts w:ascii="Arial" w:cs="Arial" w:eastAsia="Arial" w:hAnsi="Arial"/>
          <w:color w:val="000000"/>
          <w:sz w:val="22"/>
          <w:szCs w:val="22"/>
        </w:rPr>
        <w:t xml:space="preserve">Recorrido por la vivienda y por el barrio: presentar el entorno, los servicios del barrio, el transporte.</w:t>
      </w:r>
    </w:p>
    <w:p>
      <w:pPr>
        <w:pStyle w:val="ListParagraph"/>
        <w:numPr>
          <w:ilvl w:val="0"/>
          <w:numId w:val="2"/>
        </w:numPr>
        <w:spacing w:after="80" w:before="60" w:line="276"/>
      </w:pPr>
      <w:r>
        <w:rPr>
          <w:rFonts w:ascii="Arial" w:cs="Arial" w:eastAsia="Arial" w:hAnsi="Arial"/>
          <w:color w:val="000000"/>
          <w:sz w:val="22"/>
          <w:szCs w:val="22"/>
        </w:rPr>
        <w:t xml:space="preserve">Entrega de los documentos básicos: contrato de arrendamiento (copia), instrucciones de los electrodomésticos, teléfonos de contacto del programa.</w:t>
      </w:r>
    </w:p>
    <w:p>
      <w:pPr>
        <w:pStyle w:val="ListParagraph"/>
        <w:numPr>
          <w:ilvl w:val="0"/>
          <w:numId w:val="2"/>
        </w:numPr>
        <w:spacing w:after="80" w:before="60" w:line="276"/>
      </w:pPr>
      <w:r>
        <w:rPr>
          <w:rFonts w:ascii="Arial" w:cs="Arial" w:eastAsia="Arial" w:hAnsi="Arial"/>
          <w:color w:val="000000"/>
          <w:sz w:val="22"/>
          <w:szCs w:val="22"/>
        </w:rPr>
        <w:t xml:space="preserve">Plan para las primeras comidas: asegurarse de que la persona tiene acceso a alimentación básica en los primeros días.</w:t>
      </w:r>
    </w:p>
    <w:p>
      <w:pPr>
        <w:pStyle w:val="ListParagraph"/>
        <w:numPr>
          <w:ilvl w:val="0"/>
          <w:numId w:val="2"/>
        </w:numPr>
        <w:spacing w:after="80" w:before="60" w:line="276"/>
      </w:pPr>
      <w:r>
        <w:rPr>
          <w:rFonts w:ascii="Arial" w:cs="Arial" w:eastAsia="Arial" w:hAnsi="Arial"/>
          <w:color w:val="000000"/>
          <w:sz w:val="22"/>
          <w:szCs w:val="22"/>
        </w:rPr>
        <w:t xml:space="preserve">Establecer la primera visita de seguimiento: en los primeros días, no más tarde de 72 horas.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6E4F0" w:val="clear"/>
            <w:tcMar>
              <w:top w:type="dxa" w:w="120"/>
              <w:left w:type="dxa" w:w="200"/>
              <w:bottom w:type="dxa" w:w="120"/>
              <w:right w:type="dxa" w:w="200"/>
            </w:tcMar>
          </w:tcPr>
          <w:p>
            <w:pPr>
              <w:spacing w:after="80" w:before="0"/>
            </w:pPr>
            <w:r>
              <w:rPr>
                <w:rFonts w:ascii="Arial" w:cs="Arial" w:eastAsia="Arial" w:hAnsi="Arial"/>
                <w:b/>
                <w:bCs/>
                <w:color w:val="1F4E79"/>
                <w:sz w:val="22"/>
                <w:szCs w:val="22"/>
              </w:rPr>
              <w:t xml:space="preserve">PRÁCTICA RECOMENDADA: EL PRIMER MES</w:t>
            </w:r>
          </w:p>
          <w:p>
            <w:pPr>
              <w:spacing w:after="60" w:before="40" w:line="276"/>
              <w:jc w:val="both"/>
            </w:pPr>
            <w:r>
              <w:rPr>
                <w:rFonts w:ascii="Arial" w:cs="Arial" w:eastAsia="Arial" w:hAnsi="Arial"/>
                <w:color w:val="000000"/>
                <w:sz w:val="21"/>
                <w:szCs w:val="21"/>
              </w:rPr>
              <w:t xml:space="preserve">Durante el primer mes en la vivienda la frecuencia de visitas domiciliarias debe ser alta — mínimo semanal, en muchos casos dos o tres veces por semana. No porque se desconfíe de la persona, sino porque la transición de la calle a una vivienda es un proceso de adaptación que genera incertidumbre y necesidades nuevas que requieren apoyo activo.</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Situaciones frecuentes en el primer mes que requieren intervención rápida: dificultad para gestionar el tiempo sin la estructura del albergue, insomnio o alteración del ritmo circadiano, primeras tensiones con vecinos (portería, buzón, basuras), dificultad para cocinar o gestionar la alimentación, primera visita no anunciada de personas del entorno de calle o de consumo.</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El primer mes sienta las bases de la convivencia. Lo que se trabaja y se normaliza en estas primeras semanas —las normas básicas del domicilio, la relación con los vecinos, la gestión del alquiler— resulta mucho más difícil de cambiar después.</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14.3. Fase 2: Intervención Psicosocial</w:t>
      </w:r>
    </w:p>
    <w:p>
      <w:pPr>
        <w:spacing w:after="140" w:before="80" w:line="276"/>
        <w:jc w:val="both"/>
      </w:pPr>
      <w:r>
        <w:rPr>
          <w:rFonts w:ascii="Arial" w:cs="Arial" w:eastAsia="Arial" w:hAnsi="Arial"/>
          <w:b w:val="false"/>
          <w:bCs w:val="false"/>
          <w:i w:val="false"/>
          <w:iCs w:val="false"/>
          <w:color w:val="000000"/>
          <w:sz w:val="22"/>
          <w:szCs w:val="22"/>
        </w:rPr>
        <w:t xml:space="preserve">La fase central de la intervención es la más larga y la más compleja. En ella el técnico de referencia trabaja con la persona en las áreas que forman el plan de trabajo individualizado, adaptando la intensidad y el enfoque a la evolución de cada caso. No hay un protocolo único: hay tantos itinerarios como personas.</w:t>
      </w:r>
    </w:p>
    <w:p>
      <w:pPr>
        <w:pStyle w:val="Heading3"/>
        <w:spacing w:after="120" w:before="200"/>
      </w:pPr>
      <w:r>
        <w:rPr>
          <w:rFonts w:ascii="Arial" w:cs="Arial" w:eastAsia="Arial" w:hAnsi="Arial"/>
          <w:b/>
          <w:bCs/>
          <w:color w:val="2E75B6"/>
          <w:sz w:val="24"/>
          <w:szCs w:val="24"/>
        </w:rPr>
        <w:t xml:space="preserve">14.3.1. Intervención General: La Visita Domiciliaria</w:t>
      </w:r>
    </w:p>
    <w:p>
      <w:pPr>
        <w:spacing w:after="140" w:before="80" w:line="276"/>
        <w:jc w:val="both"/>
      </w:pPr>
      <w:r>
        <w:rPr>
          <w:rFonts w:ascii="Arial" w:cs="Arial" w:eastAsia="Arial" w:hAnsi="Arial"/>
          <w:b w:val="false"/>
          <w:bCs w:val="false"/>
          <w:i w:val="false"/>
          <w:iCs w:val="false"/>
          <w:color w:val="000000"/>
          <w:sz w:val="22"/>
          <w:szCs w:val="22"/>
        </w:rPr>
        <w:t xml:space="preserve">La visita domiciliaria es el instrumento de intervención principal del Housing First. A diferencia del modelo convencional, donde la persona acude a un servicio, en HF el técnico va al domicilio de la persona. Esto supone una inversión simbólica de gran importancia: el profesional entra en el espacio de la persona, no al revés.</w:t>
      </w:r>
    </w:p>
    <w:p>
      <w:pPr>
        <w:spacing w:after="140" w:before="80" w:line="276"/>
        <w:jc w:val="both"/>
      </w:pPr>
      <w:r>
        <w:rPr>
          <w:rFonts w:ascii="Arial" w:cs="Arial" w:eastAsia="Arial" w:hAnsi="Arial"/>
          <w:b w:val="false"/>
          <w:bCs w:val="false"/>
          <w:i w:val="false"/>
          <w:iCs w:val="false"/>
          <w:color w:val="000000"/>
          <w:sz w:val="22"/>
          <w:szCs w:val="22"/>
        </w:rPr>
        <w:t xml:space="preserve">Una visita domiciliaria bien gestionada tiene una estructura implícita que conviene conocer:</w:t>
      </w:r>
    </w:p>
    <w:p>
      <w:pPr>
        <w:pStyle w:val="ListParagraph"/>
        <w:numPr>
          <w:ilvl w:val="0"/>
          <w:numId w:val="3"/>
        </w:numPr>
        <w:spacing w:after="80" w:before="60" w:line="276"/>
      </w:pPr>
      <w:r>
        <w:rPr>
          <w:rFonts w:ascii="Arial" w:cs="Arial" w:eastAsia="Arial" w:hAnsi="Arial"/>
          <w:color w:val="000000"/>
          <w:sz w:val="22"/>
          <w:szCs w:val="22"/>
        </w:rPr>
        <w:t xml:space="preserve">Aviso previo: siempre se avisa con antelación (llamada o mensaje el día anterior o la mañana de la visita). Presentarse sin avisar es una invasión del espacio privado y daña la relación.</w:t>
      </w:r>
    </w:p>
    <w:p>
      <w:pPr>
        <w:pStyle w:val="ListParagraph"/>
        <w:numPr>
          <w:ilvl w:val="0"/>
          <w:numId w:val="3"/>
        </w:numPr>
        <w:spacing w:after="80" w:before="60" w:line="276"/>
      </w:pPr>
      <w:r>
        <w:rPr>
          <w:rFonts w:ascii="Arial" w:cs="Arial" w:eastAsia="Arial" w:hAnsi="Arial"/>
          <w:color w:val="000000"/>
          <w:sz w:val="22"/>
          <w:szCs w:val="22"/>
        </w:rPr>
        <w:t xml:space="preserve">Entrada respetuosa: llamar a la puerta, esperar a que la persona abra, no entrar hasta ser invitado. Aunque el programa sea el arrendatario del contrato, el domicilio es el hogar de la persona.</w:t>
      </w:r>
    </w:p>
    <w:p>
      <w:pPr>
        <w:pStyle w:val="ListParagraph"/>
        <w:numPr>
          <w:ilvl w:val="0"/>
          <w:numId w:val="3"/>
        </w:numPr>
        <w:spacing w:after="80" w:before="60" w:line="276"/>
      </w:pPr>
      <w:r>
        <w:rPr>
          <w:rFonts w:ascii="Arial" w:cs="Arial" w:eastAsia="Arial" w:hAnsi="Arial"/>
          <w:color w:val="000000"/>
          <w:sz w:val="22"/>
          <w:szCs w:val="22"/>
        </w:rPr>
        <w:t xml:space="preserve">Lectura del estado de la persona: antes de abordar la agenda, evaluar cómo está la persona (estado de ánimo, posibles efectos de sustancias, señales de crisis). Adaptar el contenido de la visita a lo que la persona puede recibir en ese momento.</w:t>
      </w:r>
    </w:p>
    <w:p>
      <w:pPr>
        <w:pStyle w:val="ListParagraph"/>
        <w:numPr>
          <w:ilvl w:val="0"/>
          <w:numId w:val="3"/>
        </w:numPr>
        <w:spacing w:after="80" w:before="60" w:line="276"/>
      </w:pPr>
      <w:r>
        <w:rPr>
          <w:rFonts w:ascii="Arial" w:cs="Arial" w:eastAsia="Arial" w:hAnsi="Arial"/>
          <w:color w:val="000000"/>
          <w:sz w:val="22"/>
          <w:szCs w:val="22"/>
        </w:rPr>
        <w:t xml:space="preserve">Trabajo sobre el plan: revisar los objetivos acordados, trabajar los que corresponden a esa visita, registrar avances y dificultades.</w:t>
      </w:r>
    </w:p>
    <w:p>
      <w:pPr>
        <w:pStyle w:val="ListParagraph"/>
        <w:numPr>
          <w:ilvl w:val="0"/>
          <w:numId w:val="3"/>
        </w:numPr>
        <w:spacing w:after="80" w:before="60" w:line="276"/>
      </w:pPr>
      <w:r>
        <w:rPr>
          <w:rFonts w:ascii="Arial" w:cs="Arial" w:eastAsia="Arial" w:hAnsi="Arial"/>
          <w:color w:val="000000"/>
          <w:sz w:val="22"/>
          <w:szCs w:val="22"/>
        </w:rPr>
        <w:t xml:space="preserve">Observación del domicilio: sin inspección explícita, pero con atención al estado general de la vivienda. Si hay señales de deterioro significativo, abordarlas con cuidado y sin juicio.</w:t>
      </w:r>
    </w:p>
    <w:p>
      <w:pPr>
        <w:pStyle w:val="ListParagraph"/>
        <w:numPr>
          <w:ilvl w:val="0"/>
          <w:numId w:val="3"/>
        </w:numPr>
        <w:spacing w:after="80" w:before="60" w:line="276"/>
      </w:pPr>
      <w:r>
        <w:rPr>
          <w:rFonts w:ascii="Arial" w:cs="Arial" w:eastAsia="Arial" w:hAnsi="Arial"/>
          <w:color w:val="000000"/>
          <w:sz w:val="22"/>
          <w:szCs w:val="22"/>
        </w:rPr>
        <w:t xml:space="preserve">Cierre y próximo contacto: acordar cuándo será la próxima visita o contacto, qué hará la persona hasta entonces, si hay alguna gestión pendiente urgente.</w:t>
      </w:r>
    </w:p>
    <w:p>
      <w:pPr>
        <w:pStyle w:val="ListParagraph"/>
        <w:numPr>
          <w:ilvl w:val="0"/>
          <w:numId w:val="3"/>
        </w:numPr>
        <w:spacing w:after="80" w:before="60" w:line="276"/>
      </w:pPr>
      <w:r>
        <w:rPr>
          <w:rFonts w:ascii="Arial" w:cs="Arial" w:eastAsia="Arial" w:hAnsi="Arial"/>
          <w:color w:val="000000"/>
          <w:sz w:val="22"/>
          <w:szCs w:val="22"/>
        </w:rPr>
        <w:t xml:space="preserve">Registro: inmediatamente después de la visita, registrar lo observado, lo trabajado y los acuerdos alcanzados en el sistema de gestión de casos.</w:t>
      </w:r>
    </w:p>
    <w:p>
      <w:pPr>
        <w:pStyle w:val="Heading3"/>
        <w:spacing w:after="120" w:before="200"/>
      </w:pPr>
      <w:r>
        <w:rPr>
          <w:rFonts w:ascii="Arial" w:cs="Arial" w:eastAsia="Arial" w:hAnsi="Arial"/>
          <w:b/>
          <w:bCs/>
          <w:color w:val="2E75B6"/>
          <w:sz w:val="24"/>
          <w:szCs w:val="24"/>
        </w:rPr>
        <w:t xml:space="preserve">14.3.2. Cobertura de Necesidades Básicas</w:t>
      </w:r>
    </w:p>
    <w:p>
      <w:pPr>
        <w:spacing w:after="140" w:before="80" w:line="276"/>
        <w:jc w:val="both"/>
      </w:pPr>
      <w:r>
        <w:rPr>
          <w:rFonts w:ascii="Arial" w:cs="Arial" w:eastAsia="Arial" w:hAnsi="Arial"/>
          <w:b w:val="false"/>
          <w:bCs w:val="false"/>
          <w:i w:val="false"/>
          <w:iCs w:val="false"/>
          <w:color w:val="000000"/>
          <w:sz w:val="22"/>
          <w:szCs w:val="22"/>
        </w:rPr>
        <w:t xml:space="preserve">Una de las tareas más concretas y frecuentes de la fase de intervención es el apoyo para cubrir las necesidades básicas de la persona: alimentación, higiene, ropa, medicación, transporte. Aunque pueda parecer secundaria frente a objetivos más 'terapéuticos', la atención a estas necesidades tiene un impacto directo en la capacidad de la persona para comprometerse con cualquier otro objetivo.</w:t>
      </w:r>
    </w:p>
    <w:p>
      <w:pPr>
        <w:pStyle w:val="ListParagraph"/>
        <w:numPr>
          <w:ilvl w:val="0"/>
          <w:numId w:val="2"/>
        </w:numPr>
        <w:spacing w:after="80" w:before="60" w:line="276"/>
      </w:pPr>
      <w:r>
        <w:rPr>
          <w:rFonts w:ascii="Arial" w:cs="Arial" w:eastAsia="Arial" w:hAnsi="Arial"/>
          <w:color w:val="000000"/>
          <w:sz w:val="22"/>
          <w:szCs w:val="22"/>
        </w:rPr>
        <w:t xml:space="preserve">Alimentación: asegurarse de que la persona come de forma regular y suficiente. Trabajo progresivo sobre la capacidad de gestionar la compra y la cocina.</w:t>
      </w:r>
    </w:p>
    <w:p>
      <w:pPr>
        <w:pStyle w:val="ListParagraph"/>
        <w:numPr>
          <w:ilvl w:val="0"/>
          <w:numId w:val="2"/>
        </w:numPr>
        <w:spacing w:after="80" w:before="60" w:line="276"/>
      </w:pPr>
      <w:r>
        <w:rPr>
          <w:rFonts w:ascii="Arial" w:cs="Arial" w:eastAsia="Arial" w:hAnsi="Arial"/>
          <w:color w:val="000000"/>
          <w:sz w:val="22"/>
          <w:szCs w:val="22"/>
        </w:rPr>
        <w:t xml:space="preserve">Medicación: apoyo para el acceso y la toma regular de medicación psicotrópica y de otras enfermedades crónicas. Coordinación con el médico de cabecera y el psiquiatra.</w:t>
      </w:r>
    </w:p>
    <w:p>
      <w:pPr>
        <w:pStyle w:val="ListParagraph"/>
        <w:numPr>
          <w:ilvl w:val="0"/>
          <w:numId w:val="2"/>
        </w:numPr>
        <w:spacing w:after="80" w:before="60" w:line="276"/>
      </w:pPr>
      <w:r>
        <w:rPr>
          <w:rFonts w:ascii="Arial" w:cs="Arial" w:eastAsia="Arial" w:hAnsi="Arial"/>
          <w:color w:val="000000"/>
          <w:sz w:val="22"/>
          <w:szCs w:val="22"/>
        </w:rPr>
        <w:t xml:space="preserve">Higiene personal: en casos de deterioro significativo, apoyo progresivo para recuperar rutinas básicas de higiene. Sin imposición, con sensibilidad.</w:t>
      </w:r>
    </w:p>
    <w:p>
      <w:pPr>
        <w:pStyle w:val="ListParagraph"/>
        <w:numPr>
          <w:ilvl w:val="0"/>
          <w:numId w:val="2"/>
        </w:numPr>
        <w:spacing w:after="80" w:before="60" w:line="276"/>
      </w:pPr>
      <w:r>
        <w:rPr>
          <w:rFonts w:ascii="Arial" w:cs="Arial" w:eastAsia="Arial" w:hAnsi="Arial"/>
          <w:color w:val="000000"/>
          <w:sz w:val="22"/>
          <w:szCs w:val="22"/>
        </w:rPr>
        <w:t xml:space="preserve">Ropa y calzado: gestión de becas para adquisición básica. Conocimiento de recursos de ropa de segunda mano o entidades que los distribuyen.</w:t>
      </w:r>
    </w:p>
    <w:p>
      <w:pPr>
        <w:pStyle w:val="ListParagraph"/>
        <w:numPr>
          <w:ilvl w:val="0"/>
          <w:numId w:val="2"/>
        </w:numPr>
        <w:spacing w:after="80" w:before="60" w:line="276"/>
      </w:pPr>
      <w:r>
        <w:rPr>
          <w:rFonts w:ascii="Arial" w:cs="Arial" w:eastAsia="Arial" w:hAnsi="Arial"/>
          <w:color w:val="000000"/>
          <w:sz w:val="22"/>
          <w:szCs w:val="22"/>
        </w:rPr>
        <w:t xml:space="preserve">Transporte: obtención de títulos de transporte, apoyo para el aprendizaje del uso del transporte público si es necesario.</w:t>
      </w:r>
    </w:p>
    <w:p>
      <w:pPr>
        <w:pStyle w:val="Heading3"/>
        <w:spacing w:after="120" w:before="200"/>
      </w:pPr>
      <w:r>
        <w:rPr>
          <w:rFonts w:ascii="Arial" w:cs="Arial" w:eastAsia="Arial" w:hAnsi="Arial"/>
          <w:b/>
          <w:bCs/>
          <w:color w:val="2E75B6"/>
          <w:sz w:val="24"/>
          <w:szCs w:val="24"/>
        </w:rPr>
        <w:t xml:space="preserve">14.3.3. Integración Comunitaria</w:t>
      </w:r>
    </w:p>
    <w:p>
      <w:pPr>
        <w:spacing w:after="140" w:before="80" w:line="276"/>
        <w:jc w:val="both"/>
      </w:pPr>
      <w:r>
        <w:rPr>
          <w:rFonts w:ascii="Arial" w:cs="Arial" w:eastAsia="Arial" w:hAnsi="Arial"/>
          <w:b w:val="false"/>
          <w:bCs w:val="false"/>
          <w:i w:val="false"/>
          <w:iCs w:val="false"/>
          <w:color w:val="000000"/>
          <w:sz w:val="22"/>
          <w:szCs w:val="22"/>
        </w:rPr>
        <w:t xml:space="preserve">La integración comunitaria no es el último objetivo del Housing First, como si fuera el final de la escalera. Es un proceso que comienza desde el primer día en la vivienda y que el equipo debe trabajar de forma activa y creativa. La persona llega a un barrio donde no conoce a nadie, donde puede ser percibida con recelo, y donde necesita construir desde cero una identidad comunitaria.</w:t>
      </w:r>
    </w:p>
    <w:p>
      <w:pPr>
        <w:pStyle w:val="ListParagraph"/>
        <w:numPr>
          <w:ilvl w:val="0"/>
          <w:numId w:val="2"/>
        </w:numPr>
        <w:spacing w:after="80" w:before="60" w:line="276"/>
      </w:pPr>
      <w:r>
        <w:rPr>
          <w:rFonts w:ascii="Arial" w:cs="Arial" w:eastAsia="Arial" w:hAnsi="Arial"/>
          <w:color w:val="000000"/>
          <w:sz w:val="22"/>
          <w:szCs w:val="22"/>
        </w:rPr>
        <w:t xml:space="preserve">Conocimiento del barrio: acompañamiento en el descubrimiento del entorno inmediato (comercios, servicios, parques, centros cívicos, equipamientos).</w:t>
      </w:r>
    </w:p>
    <w:p>
      <w:pPr>
        <w:pStyle w:val="ListParagraph"/>
        <w:numPr>
          <w:ilvl w:val="0"/>
          <w:numId w:val="2"/>
        </w:numPr>
        <w:spacing w:after="80" w:before="60" w:line="276"/>
      </w:pPr>
      <w:r>
        <w:rPr>
          <w:rFonts w:ascii="Arial" w:cs="Arial" w:eastAsia="Arial" w:hAnsi="Arial"/>
          <w:color w:val="000000"/>
          <w:sz w:val="22"/>
          <w:szCs w:val="22"/>
        </w:rPr>
        <w:t xml:space="preserve">Actividades de ocio y cultura: identificación de intereses de la persona y búsqueda de actividades accesibles (gratuitas o de bajo coste) en el barrio.</w:t>
      </w:r>
    </w:p>
    <w:p>
      <w:pPr>
        <w:pStyle w:val="ListParagraph"/>
        <w:numPr>
          <w:ilvl w:val="0"/>
          <w:numId w:val="2"/>
        </w:numPr>
        <w:spacing w:after="80" w:before="60" w:line="276"/>
      </w:pPr>
      <w:r>
        <w:rPr>
          <w:rFonts w:ascii="Arial" w:cs="Arial" w:eastAsia="Arial" w:hAnsi="Arial"/>
          <w:color w:val="000000"/>
          <w:sz w:val="22"/>
          <w:szCs w:val="22"/>
        </w:rPr>
        <w:t xml:space="preserve">Grupos comunitarios: animación a la participación en actividades grupales normalizadas (asociaciones de vecinos, grupos deportivos, actividades en centros cívicos).</w:t>
      </w:r>
    </w:p>
    <w:p>
      <w:pPr>
        <w:pStyle w:val="ListParagraph"/>
        <w:numPr>
          <w:ilvl w:val="0"/>
          <w:numId w:val="2"/>
        </w:numPr>
        <w:spacing w:after="80" w:before="60" w:line="276"/>
      </w:pPr>
      <w:r>
        <w:rPr>
          <w:rFonts w:ascii="Arial" w:cs="Arial" w:eastAsia="Arial" w:hAnsi="Arial"/>
          <w:color w:val="000000"/>
          <w:sz w:val="22"/>
          <w:szCs w:val="22"/>
        </w:rPr>
        <w:t xml:space="preserve">Relaciones vecinales: trabajo activo para que la persona se integre positivamente en el edificio. Pequeños gestos (saludar al portero, ser conocido en el bar de la esquina) tienen un efecto acumulativo en la integración.</w:t>
      </w:r>
    </w:p>
    <w:p>
      <w:pPr>
        <w:pStyle w:val="ListParagraph"/>
        <w:numPr>
          <w:ilvl w:val="0"/>
          <w:numId w:val="2"/>
        </w:numPr>
        <w:spacing w:after="80" w:before="60" w:line="276"/>
      </w:pPr>
      <w:r>
        <w:rPr>
          <w:rFonts w:ascii="Arial" w:cs="Arial" w:eastAsia="Arial" w:hAnsi="Arial"/>
          <w:color w:val="000000"/>
          <w:sz w:val="22"/>
          <w:szCs w:val="22"/>
        </w:rPr>
        <w:t xml:space="preserve">Empleo y formación: cuando la persona lo desea y está en condiciones, acompañamiento hacia recursos de orientación laboral, formación básica o alfabetización digital.</w:t>
      </w:r>
    </w:p>
    <w:p>
      <w:pPr>
        <w:pStyle w:val="Heading1"/>
        <w:pageBreakBefore/>
        <w:spacing w:after="240" w:before="0"/>
      </w:pPr>
      <w:r>
        <w:rPr>
          <w:rFonts w:ascii="Arial" w:cs="Arial" w:eastAsia="Arial" w:hAnsi="Arial"/>
          <w:b/>
          <w:bCs/>
          <w:color w:val="FFFFFF"/>
          <w:sz w:val="32"/>
          <w:szCs w:val="32"/>
        </w:rPr>
        <w:t xml:space="preserve">MÓDULO 15: EL PLAN DE TRABAJO INDIVIDUAL — EUIC Y OBJETIVOS SMART</w:t>
      </w:r>
    </w:p>
    <w:p>
      <w:pPr>
        <w:pStyle w:val="Heading2"/>
        <w:spacing w:after="160" w:before="280"/>
      </w:pPr>
      <w:r>
        <w:rPr>
          <w:rFonts w:ascii="Arial" w:cs="Arial" w:eastAsia="Arial" w:hAnsi="Arial"/>
          <w:b/>
          <w:bCs/>
          <w:color w:val="1F4E79"/>
          <w:sz w:val="26"/>
          <w:szCs w:val="26"/>
        </w:rPr>
        <w:t xml:space="preserve">15.1. El Instrumento EUIC</w:t>
      </w:r>
    </w:p>
    <w:p>
      <w:pPr>
        <w:spacing w:after="140" w:before="80" w:line="276"/>
        <w:jc w:val="both"/>
      </w:pPr>
      <w:r>
        <w:rPr>
          <w:rFonts w:ascii="Arial" w:cs="Arial" w:eastAsia="Arial" w:hAnsi="Arial"/>
          <w:b w:val="false"/>
          <w:bCs w:val="false"/>
          <w:i w:val="false"/>
          <w:iCs w:val="false"/>
          <w:color w:val="000000"/>
          <w:sz w:val="22"/>
          <w:szCs w:val="22"/>
        </w:rPr>
        <w:t xml:space="preserve">El EUIC (Escala de Evaluación Individual de Compromisos y Apoyos) es el instrumento de planificación y seguimiento individual que vertebra la intervención en los proyectos Housing First en España. Desarrollado en el contexto del proyecto Hábitat, el EUIC permite documentar los objetivos acordados con la persona, los compromisos que asume la persona y los apoyos que asume el equipo, y hacer un seguimiento periódico del grado de consecución de unos y otros.</w:t>
      </w:r>
    </w:p>
    <w:p>
      <w:pPr>
        <w:spacing w:after="140" w:before="80" w:line="276"/>
        <w:jc w:val="both"/>
      </w:pPr>
      <w:r>
        <w:rPr>
          <w:rFonts w:ascii="Arial" w:cs="Arial" w:eastAsia="Arial" w:hAnsi="Arial"/>
          <w:b w:val="false"/>
          <w:bCs w:val="false"/>
          <w:i w:val="false"/>
          <w:iCs w:val="false"/>
          <w:color w:val="000000"/>
          <w:sz w:val="22"/>
          <w:szCs w:val="22"/>
        </w:rPr>
        <w:t xml:space="preserve">La estructura del EUIC organiza la intervención en ocho áreas de vida que cubren de forma integral las dimensiones relevantes para la inclusión social. Para cada área, el técnico y la persona acuerdan conjuntamente qué objetivos se van a trabajar en el periodo siguiente, quién hace qué, y cómo se va a evaluar el avance.</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6E4F0" w:val="clear"/>
            <w:tcMar>
              <w:top w:type="dxa" w:w="120"/>
              <w:left w:type="dxa" w:w="200"/>
              <w:bottom w:type="dxa" w:w="120"/>
              <w:right w:type="dxa" w:w="200"/>
            </w:tcMar>
          </w:tcPr>
          <w:p>
            <w:pPr>
              <w:spacing w:after="80" w:before="0"/>
            </w:pPr>
            <w:r>
              <w:rPr>
                <w:rFonts w:ascii="Arial" w:cs="Arial" w:eastAsia="Arial" w:hAnsi="Arial"/>
                <w:b/>
                <w:bCs/>
                <w:color w:val="1F4E79"/>
                <w:sz w:val="22"/>
                <w:szCs w:val="22"/>
              </w:rPr>
              <w:t xml:space="preserve">FILOSOFÍA DEL EUIC: UN ACUERDO, NO UN CONTRATO</w:t>
            </w:r>
          </w:p>
          <w:p>
            <w:pPr>
              <w:spacing w:after="60" w:before="40" w:line="276"/>
              <w:jc w:val="both"/>
            </w:pPr>
            <w:r>
              <w:rPr>
                <w:rFonts w:ascii="Arial" w:cs="Arial" w:eastAsia="Arial" w:hAnsi="Arial"/>
                <w:color w:val="000000"/>
                <w:sz w:val="21"/>
                <w:szCs w:val="21"/>
              </w:rPr>
              <w:t xml:space="preserve">El EUIC no es un contrato de comportamiento que la persona firma para no perder la vivienda. Es una herramienta de planificación centrada en la persona que recoge sus propias metas y los apoyos que el equipo se compromete a ofrecer. Esta distinción es fundamental y debe ser comunicada claramente a la persona en la primera vez que se usa el instrumento.</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El incumplimiento de los objetivos del EUIC no tiene consecuencias sobre el alojamiento. Tiene consecuencias sobre el proceso de trabajo: es una señal de que algo no está funcionando — los objetivos son demasiado ambiciosos, el momento no es el adecuado, la persona necesita un apoyo diferente — y hay que revisarlo. El EUIC es un instrumento al servicio de la persona, no un mecanismo de control.</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15.2. Las Ocho Áreas del EUIC</w:t>
      </w:r>
    </w:p>
    <w:p>
      <w:pPr>
        <w:pStyle w:val="Heading3"/>
        <w:spacing w:after="120" w:before="200"/>
      </w:pPr>
      <w:r>
        <w:rPr>
          <w:rFonts w:ascii="Arial" w:cs="Arial" w:eastAsia="Arial" w:hAnsi="Arial"/>
          <w:b/>
          <w:bCs/>
          <w:color w:val="2E75B6"/>
          <w:sz w:val="24"/>
          <w:szCs w:val="24"/>
        </w:rPr>
        <w:t xml:space="preserve">Área 1: Alojamiento y Autonomía Doméstica</w:t>
      </w:r>
    </w:p>
    <w:p>
      <w:pPr>
        <w:spacing w:after="140" w:before="80" w:line="276"/>
        <w:jc w:val="both"/>
      </w:pPr>
      <w:r>
        <w:rPr>
          <w:rFonts w:ascii="Arial" w:cs="Arial" w:eastAsia="Arial" w:hAnsi="Arial"/>
          <w:b w:val="false"/>
          <w:bCs w:val="false"/>
          <w:i w:val="false"/>
          <w:iCs w:val="false"/>
          <w:color w:val="000000"/>
          <w:sz w:val="22"/>
          <w:szCs w:val="22"/>
        </w:rPr>
        <w:t xml:space="preserve">Objetivos relacionados con la estabilidad y la calidad del alojamiento, el mantenimiento de la vivienda, la gestión del pago del alquiler y los suministros, las relaciones de vecindad, y el desarrollo progresivo de habilidades de vida independiente (cocina, limpieza, gestión del hogar).</w:t>
      </w:r>
    </w:p>
    <w:p>
      <w:pPr>
        <w:spacing w:after="120" w:before="120"/>
      </w:pPr>
      <w:r>
        <w:t xml:space="preserve"/>
      </w:r>
    </w:p>
    <w:p>
      <w:pPr>
        <w:pStyle w:val="Heading3"/>
        <w:spacing w:after="120" w:before="200"/>
      </w:pPr>
      <w:r>
        <w:rPr>
          <w:rFonts w:ascii="Arial" w:cs="Arial" w:eastAsia="Arial" w:hAnsi="Arial"/>
          <w:b/>
          <w:bCs/>
          <w:color w:val="2E75B6"/>
          <w:sz w:val="24"/>
          <w:szCs w:val="24"/>
        </w:rPr>
        <w:t xml:space="preserve">Área 2: Salud Física</w:t>
      </w:r>
    </w:p>
    <w:p>
      <w:pPr>
        <w:spacing w:after="140" w:before="80" w:line="276"/>
        <w:jc w:val="both"/>
      </w:pPr>
      <w:r>
        <w:rPr>
          <w:rFonts w:ascii="Arial" w:cs="Arial" w:eastAsia="Arial" w:hAnsi="Arial"/>
          <w:b w:val="false"/>
          <w:bCs w:val="false"/>
          <w:i w:val="false"/>
          <w:iCs w:val="false"/>
          <w:color w:val="000000"/>
          <w:sz w:val="22"/>
          <w:szCs w:val="22"/>
        </w:rPr>
        <w:t xml:space="preserve">Objetivos relacionados con el acceso y la continuidad de la atención sanitaria de atención primaria y especializada, el seguimiento de enfermedades crónicas, la adherencia a tratamientos farmacológicos, la atención odontológica y oftalmológica, la dieta y la actividad física.</w:t>
      </w:r>
    </w:p>
    <w:p>
      <w:pPr>
        <w:spacing w:after="120" w:before="120"/>
      </w:pPr>
      <w:r>
        <w:t xml:space="preserve"/>
      </w:r>
    </w:p>
    <w:p>
      <w:pPr>
        <w:pStyle w:val="Heading3"/>
        <w:spacing w:after="120" w:before="200"/>
      </w:pPr>
      <w:r>
        <w:rPr>
          <w:rFonts w:ascii="Arial" w:cs="Arial" w:eastAsia="Arial" w:hAnsi="Arial"/>
          <w:b/>
          <w:bCs/>
          <w:color w:val="2E75B6"/>
          <w:sz w:val="24"/>
          <w:szCs w:val="24"/>
        </w:rPr>
        <w:t xml:space="preserve">Área 3: Salud Mental</w:t>
      </w:r>
    </w:p>
    <w:p>
      <w:pPr>
        <w:spacing w:after="140" w:before="80" w:line="276"/>
        <w:jc w:val="both"/>
      </w:pPr>
      <w:r>
        <w:rPr>
          <w:rFonts w:ascii="Arial" w:cs="Arial" w:eastAsia="Arial" w:hAnsi="Arial"/>
          <w:b w:val="false"/>
          <w:bCs w:val="false"/>
          <w:i w:val="false"/>
          <w:iCs w:val="false"/>
          <w:color w:val="000000"/>
          <w:sz w:val="22"/>
          <w:szCs w:val="22"/>
        </w:rPr>
        <w:t xml:space="preserve">Objetivos relacionados con el seguimiento psiquiátrico, la adherencia al tratamiento farmacológico psicotrópico, el trabajo psicoterapéutico cuando la persona lo desea y tiene acceso, la gestión de los síntomas en el día a día, la prevención de descompensaciones y el plan de acción ante crisis.</w:t>
      </w:r>
    </w:p>
    <w:p>
      <w:pPr>
        <w:spacing w:after="120" w:before="120"/>
      </w:pPr>
      <w:r>
        <w:t xml:space="preserve"/>
      </w:r>
    </w:p>
    <w:p>
      <w:pPr>
        <w:pStyle w:val="Heading3"/>
        <w:spacing w:after="120" w:before="200"/>
      </w:pPr>
      <w:r>
        <w:rPr>
          <w:rFonts w:ascii="Arial" w:cs="Arial" w:eastAsia="Arial" w:hAnsi="Arial"/>
          <w:b/>
          <w:bCs/>
          <w:color w:val="2E75B6"/>
          <w:sz w:val="24"/>
          <w:szCs w:val="24"/>
        </w:rPr>
        <w:t xml:space="preserve">Área 4: Adicciones y Reducción de Daños</w:t>
      </w:r>
    </w:p>
    <w:p>
      <w:pPr>
        <w:spacing w:after="140" w:before="80" w:line="276"/>
        <w:jc w:val="both"/>
      </w:pPr>
      <w:r>
        <w:rPr>
          <w:rFonts w:ascii="Arial" w:cs="Arial" w:eastAsia="Arial" w:hAnsi="Arial"/>
          <w:b w:val="false"/>
          <w:bCs w:val="false"/>
          <w:i w:val="false"/>
          <w:iCs w:val="false"/>
          <w:color w:val="000000"/>
          <w:sz w:val="22"/>
          <w:szCs w:val="22"/>
        </w:rPr>
        <w:t xml:space="preserve">Objetivos acordados con la persona respecto a su consumo de sustancias, desde el mantenimiento con la menor dañinidad posible hasta la reducción progresiva o la abstinencia cuando es el deseo de la persona. Coordinación con el CAD/CAS, tratamiento sustitutivo, manejo del síndrome de abstinencia.</w:t>
      </w:r>
    </w:p>
    <w:p>
      <w:pPr>
        <w:spacing w:after="120" w:before="120"/>
      </w:pPr>
      <w:r>
        <w:t xml:space="preserve"/>
      </w:r>
    </w:p>
    <w:p>
      <w:pPr>
        <w:pStyle w:val="Heading3"/>
        <w:spacing w:after="120" w:before="200"/>
      </w:pPr>
      <w:r>
        <w:rPr>
          <w:rFonts w:ascii="Arial" w:cs="Arial" w:eastAsia="Arial" w:hAnsi="Arial"/>
          <w:b/>
          <w:bCs/>
          <w:color w:val="2E75B6"/>
          <w:sz w:val="24"/>
          <w:szCs w:val="24"/>
        </w:rPr>
        <w:t xml:space="preserve">Área 5: Situación Económica y Gestión</w:t>
      </w:r>
    </w:p>
    <w:p>
      <w:pPr>
        <w:spacing w:after="140" w:before="80" w:line="276"/>
        <w:jc w:val="both"/>
      </w:pPr>
      <w:r>
        <w:rPr>
          <w:rFonts w:ascii="Arial" w:cs="Arial" w:eastAsia="Arial" w:hAnsi="Arial"/>
          <w:b w:val="false"/>
          <w:bCs w:val="false"/>
          <w:i w:val="false"/>
          <w:iCs w:val="false"/>
          <w:color w:val="000000"/>
          <w:sz w:val="22"/>
          <w:szCs w:val="22"/>
        </w:rPr>
        <w:t xml:space="preserve">Objetivos relacionados con el acceso y mantenimiento de prestaciones económicas (RMI/RISMI, pensiones contributivas y no contributivas, PNC, RAI), la gestión básica del dinero, la eliminación de deudas, la apertura de cuenta bancaria, y el acceso progresivo a recursos de inserción laboral cuando corresponde.</w:t>
      </w:r>
    </w:p>
    <w:p>
      <w:pPr>
        <w:spacing w:after="120" w:before="120"/>
      </w:pPr>
      <w:r>
        <w:t xml:space="preserve"/>
      </w:r>
    </w:p>
    <w:p>
      <w:pPr>
        <w:pStyle w:val="Heading3"/>
        <w:spacing w:after="120" w:before="200"/>
      </w:pPr>
      <w:r>
        <w:rPr>
          <w:rFonts w:ascii="Arial" w:cs="Arial" w:eastAsia="Arial" w:hAnsi="Arial"/>
          <w:b/>
          <w:bCs/>
          <w:color w:val="2E75B6"/>
          <w:sz w:val="24"/>
          <w:szCs w:val="24"/>
        </w:rPr>
        <w:t xml:space="preserve">Área 6: Relaciones Sociales y Familiares</w:t>
      </w:r>
    </w:p>
    <w:p>
      <w:pPr>
        <w:spacing w:after="140" w:before="80" w:line="276"/>
        <w:jc w:val="both"/>
      </w:pPr>
      <w:r>
        <w:rPr>
          <w:rFonts w:ascii="Arial" w:cs="Arial" w:eastAsia="Arial" w:hAnsi="Arial"/>
          <w:b w:val="false"/>
          <w:bCs w:val="false"/>
          <w:i w:val="false"/>
          <w:iCs w:val="false"/>
          <w:color w:val="000000"/>
          <w:sz w:val="22"/>
          <w:szCs w:val="22"/>
        </w:rPr>
        <w:t xml:space="preserve">Objetivos relacionados con la reconstrucción o el mantenimiento de la red social de apoyo, la mejora de las relaciones familiares cuando es el deseo de la persona, la gestión de relaciones que resultan perjudiciales para la estabilidad (entorno de consumo, relaciones de violencia), y el desarrollo de nuevas relaciones en el entorno comunitario.</w:t>
      </w:r>
    </w:p>
    <w:p>
      <w:pPr>
        <w:spacing w:after="120" w:before="120"/>
      </w:pPr>
      <w:r>
        <w:t xml:space="preserve"/>
      </w:r>
    </w:p>
    <w:p>
      <w:pPr>
        <w:pStyle w:val="Heading3"/>
        <w:spacing w:after="120" w:before="200"/>
      </w:pPr>
      <w:r>
        <w:rPr>
          <w:rFonts w:ascii="Arial" w:cs="Arial" w:eastAsia="Arial" w:hAnsi="Arial"/>
          <w:b/>
          <w:bCs/>
          <w:color w:val="2E75B6"/>
          <w:sz w:val="24"/>
          <w:szCs w:val="24"/>
        </w:rPr>
        <w:t xml:space="preserve">Área 7: Integración Comunitaria, Ocio y Cultura</w:t>
      </w:r>
    </w:p>
    <w:p>
      <w:pPr>
        <w:spacing w:after="140" w:before="80" w:line="276"/>
        <w:jc w:val="both"/>
      </w:pPr>
      <w:r>
        <w:rPr>
          <w:rFonts w:ascii="Arial" w:cs="Arial" w:eastAsia="Arial" w:hAnsi="Arial"/>
          <w:b w:val="false"/>
          <w:bCs w:val="false"/>
          <w:i w:val="false"/>
          <w:iCs w:val="false"/>
          <w:color w:val="000000"/>
          <w:sz w:val="22"/>
          <w:szCs w:val="22"/>
        </w:rPr>
        <w:t xml:space="preserve">Objetivos relacionados con la participación en actividades comunitarias, el desarrollo de aficiones y hobbies, el acceso a la cultura, el deporte y el ocio, y la construcción de una identidad más allá del programa y de la trayectoria de exclusión.</w:t>
      </w:r>
    </w:p>
    <w:p>
      <w:pPr>
        <w:spacing w:after="120" w:before="120"/>
      </w:pPr>
      <w:r>
        <w:t xml:space="preserve"/>
      </w:r>
    </w:p>
    <w:p>
      <w:pPr>
        <w:pStyle w:val="Heading3"/>
        <w:spacing w:after="120" w:before="200"/>
      </w:pPr>
      <w:r>
        <w:rPr>
          <w:rFonts w:ascii="Arial" w:cs="Arial" w:eastAsia="Arial" w:hAnsi="Arial"/>
          <w:b/>
          <w:bCs/>
          <w:color w:val="2E75B6"/>
          <w:sz w:val="24"/>
          <w:szCs w:val="24"/>
        </w:rPr>
        <w:t xml:space="preserve">Área 8: Situación Administrativa, Jurídica y Documental</w:t>
      </w:r>
    </w:p>
    <w:p>
      <w:pPr>
        <w:spacing w:after="140" w:before="80" w:line="276"/>
        <w:jc w:val="both"/>
      </w:pPr>
      <w:r>
        <w:rPr>
          <w:rFonts w:ascii="Arial" w:cs="Arial" w:eastAsia="Arial" w:hAnsi="Arial"/>
          <w:b w:val="false"/>
          <w:bCs w:val="false"/>
          <w:i w:val="false"/>
          <w:iCs w:val="false"/>
          <w:color w:val="000000"/>
          <w:sz w:val="22"/>
          <w:szCs w:val="22"/>
        </w:rPr>
        <w:t xml:space="preserve">Objetivos relacionados con la regularización de la situación documental (DNI, pasaporte, NIE, autorización de residencia), el empadronamiento y sus consecuencias en el acceso a derechos, la gestión de procedimientos judiciales activos, el cumplimiento de medidas alternativas y la resolución de deudas con la Administración.</w:t>
      </w:r>
    </w:p>
    <w:p>
      <w:pPr>
        <w:spacing w:after="120" w:before="120"/>
      </w:pPr>
      <w:r>
        <w:t xml:space="preserve"/>
      </w:r>
    </w:p>
    <w:p>
      <w:pPr>
        <w:pStyle w:val="Heading2"/>
        <w:spacing w:after="160" w:before="280"/>
      </w:pPr>
      <w:r>
        <w:rPr>
          <w:rFonts w:ascii="Arial" w:cs="Arial" w:eastAsia="Arial" w:hAnsi="Arial"/>
          <w:b/>
          <w:bCs/>
          <w:color w:val="1F4E79"/>
          <w:sz w:val="26"/>
          <w:szCs w:val="26"/>
        </w:rPr>
        <w:t xml:space="preserve">15.3. Plantilla del Plan de Trabajo Individual (EUIC)</w:t>
      </w:r>
    </w:p>
    <w:p>
      <w:pPr>
        <w:spacing w:after="140" w:before="80" w:line="276"/>
        <w:jc w:val="both"/>
      </w:pPr>
      <w:r>
        <w:rPr>
          <w:rFonts w:ascii="Arial" w:cs="Arial" w:eastAsia="Arial" w:hAnsi="Arial"/>
          <w:b w:val="false"/>
          <w:bCs w:val="false"/>
          <w:i w:val="false"/>
          <w:iCs w:val="false"/>
          <w:color w:val="000000"/>
          <w:sz w:val="22"/>
          <w:szCs w:val="22"/>
        </w:rPr>
        <w:t xml:space="preserve">A continuación se presenta una plantilla de Plan de Trabajo Individual basada en el instrumento EUIC, adaptada para uso genérico sin datos identificativos. Cada área incluye campos para registrar la situación de partida, el objetivo acordado, los compromisos de la persona, los apoyos del equipo y el grado de consecución en la revisión.</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PLAN DE TRABAJO INDIVIDUAL</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INSTRUMENTO EUIC — VERSIÓN GENÉRICA</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DATOS GENERALES DEL CASO</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Código del caso (iniciales)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Ej.: M.G.R.</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Técnico/a de referencia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Nombre del técnico responsable</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Fecha de elaboración del plan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dd/mm/aaaa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Período de vigencia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Ej.: octubre 2024 – enero 2025</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Número de revisión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Ej.: 1ª revisión / 3ª revisión</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ÁREA 1: ALOJAMIENTO Y AUTONOMÍA</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Situación de partida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Descripción objetiva de la situación actual en esta área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Objetivo acordado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Formulación SMART del objetivo (ver módulo 15.4)</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Compromisos de la persona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Qué acciones concretas se compromete a realizar la persona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Apoyos del equipo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Qué apoyos concretos ofrece el equipo para este objetivo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Indicador de evaluación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Cómo se sabrá si el objetivo se ha conseguido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Grado de consecución (revisión)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0-Sin avance / 1-Parcial / 2-Conseguido / 3-Superado</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ÁREA 2: SALUD FÍSICA</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Situación de partida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Descripción objetiva de la situación actual en esta área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Objetivo acordado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Formulación SMART del objetivo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Compromisos de la persona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Acciones concretas de la persona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Apoyos del equipo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Apoyos concretos del equipo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Indicador de evaluación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Cómo se sabrá si el objetivo se ha conseguido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Grado de consecución (revisión)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0-Sin avance / 1-Parcial / 2-Conseguido / 3-Superado</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ÁREA 3: SALUD MENTAL</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Situación de partida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Objetivo acordado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Compromisos de la persona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Apoyos del equipo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Indicador de evaluación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Grado de consecución (revisión)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0-Sin avance / 1-Parcial / 2-Conseguido / 3-Superado</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ÁREA 4: ADICCIONES Y REDUCCIÓN DE DAÑOS</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Situación de partida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Objetivo acordado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Compromisos de la persona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Apoyos del equipo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Indicador de evaluación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Grado de consecución (revisión)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0-Sin avance / 1-Parcial / 2-Conseguido / 3-Superado</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ÁREA 5: SITUACIÓN ECONÓMICA</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Situación de partida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Objetivo acordado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Compromisos de la persona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Apoyos del equipo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Indicador de evaluación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Grado de consecución (revisión)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0-Sin avance / 1-Parcial / 2-Conseguido / 3-Superado</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ÁREA 6: RELACIONES SOCIALES Y FAMILIARES</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Situación de partida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Objetivo acordado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Compromisos de la persona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Apoyos del equipo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Indicador de evaluación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Grado de consecución (revisión)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0-Sin avance / 1-Parcial / 2-Conseguido / 3-Superado</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ÁREA 7: INTEGRACIÓN COMUNITARIA Y OCIO</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Situación de partida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Objetivo acordado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Compromisos de la persona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Apoyos del equipo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Indicador de evaluación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Grado de consecución (revisión)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0-Sin avance / 1-Parcial / 2-Conseguido / 3-Superado</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ÁREA 8: SITUACIÓN ADMINISTRATIVA Y JURÍDICA</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Situación de partida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Objetivo acordado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Compromisos de la persona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Apoyos del equipo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Indicador de evaluación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Grado de consecución (revisión)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0-Sin avance / 1-Parcial / 2-Conseguido / 3-Superado</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VALORACIÓN GLOBAL DE LA REVISIÓN</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Áreas con mayor avance</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Áreas con menor avance</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Factores que han facilitado el avance</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Factores que han dificultado el avance</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Cambios en la intensidad del apoyo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Aumentar / Mantener / Reducir. Justificación.</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Objetivos para el siguiente período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Resumen de los objetivos prioritarios del próximo plan</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FIRMAS</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Firma de la persona participante</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Fecha: ___________</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Firma del/la técnico/a de referencia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Fecha: ___________</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15.4. Formulación de Objetivos SMART</w:t>
      </w:r>
    </w:p>
    <w:p>
      <w:pPr>
        <w:spacing w:after="140" w:before="80" w:line="276"/>
        <w:jc w:val="both"/>
      </w:pPr>
      <w:r>
        <w:rPr>
          <w:rFonts w:ascii="Arial" w:cs="Arial" w:eastAsia="Arial" w:hAnsi="Arial"/>
          <w:b w:val="false"/>
          <w:bCs w:val="false"/>
          <w:i w:val="false"/>
          <w:iCs w:val="false"/>
          <w:color w:val="000000"/>
          <w:sz w:val="22"/>
          <w:szCs w:val="22"/>
        </w:rPr>
        <w:t xml:space="preserve">La calidad de los objetivos del plan de trabajo determina en gran medida la utilidad del instrumento. Un objetivo vago o poco realista no sirve como guía para la intervención ni como criterio de evaluación del avance. La metodología SMART ofrece un marco sencillo para formular objetivos operativos: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000"/>
        <w:gridCol w:w="2000"/>
        <w:gridCol w:w="3526"/>
      </w:tblGrid>
      <w:tr>
        <w:trPr>
          <w:tblHeader/>
        </w:trPr>
        <w:tc>
          <w:tcPr>
            <w:tcW w:type="dxa" w:w="1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Criterio SMART</w:t>
            </w:r>
          </w:p>
        </w:tc>
        <w:tc>
          <w:tcPr>
            <w:tcW w:type="dxa" w:w="2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Significado</w:t>
            </w:r>
          </w:p>
        </w:tc>
        <w:tc>
          <w:tcPr>
            <w:tcW w:type="dxa" w:w="2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Pregunta de verificación</w:t>
            </w:r>
          </w:p>
        </w:tc>
        <w:tc>
          <w:tcPr>
            <w:tcW w:type="dxa" w:w="35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Ejemplo correcto</w:t>
            </w:r>
          </w:p>
        </w:tc>
      </w:tr>
      <w:tr>
        <w:tc>
          <w:tcPr>
            <w:tcW w:type="dxa" w:w="1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S — Específico</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El objetivo describe una acción o resultado concreto</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¿Sé exactamente qué se va a hacer o conseguir?</w:t>
            </w:r>
          </w:p>
        </w:tc>
        <w:tc>
          <w:tcPr>
            <w:tcW w:type="dxa" w:w="35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Acudir al centro de salud para solicitar cita con el médico de cabecera</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M — Medible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El objetivo incluye un indicador que permite saber si se ha conseguido</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¿Cómo sabremos que se ha cumplido?</w:t>
            </w:r>
          </w:p>
        </w:tc>
        <w:tc>
          <w:tcPr>
            <w:tcW w:type="dxa" w:w="35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Asistir al menos a 3 de las 4 sesiones de seguimiento psiquiátrico del trimestre</w:t>
            </w:r>
          </w:p>
        </w:tc>
      </w:tr>
      <w:tr>
        <w:tc>
          <w:tcPr>
            <w:tcW w:type="dxa" w:w="1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A — Alcanzable</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El objetivo es realista dada la situación y las capacidades de la persona</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¿Es posible conseguirlo con los recursos disponibles?</w:t>
            </w:r>
          </w:p>
        </w:tc>
        <w:tc>
          <w:tcPr>
            <w:tcW w:type="dxa" w:w="35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Reducir el consumo de alcohol de diario a 4 días a la semana en el próximo mes</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R — Relevante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El objetivo tiene sentido para la persona y está relacionado con sus propias metas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¿Le importa a la persona conseguir esto?</w:t>
            </w:r>
          </w:p>
        </w:tc>
        <w:tc>
          <w:tcPr>
            <w:tcW w:type="dxa" w:w="35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Retomar el contacto con su hija mediante una llamada mensual acordada con la trabajadora social</w:t>
            </w:r>
          </w:p>
        </w:tc>
      </w:tr>
      <w:tr>
        <w:tc>
          <w:tcPr>
            <w:tcW w:type="dxa" w:w="1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T — Temporal</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El objetivo tiene un plazo concreto de consecución</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¿Para cuándo se va a conseguir?</w:t>
            </w:r>
          </w:p>
        </w:tc>
        <w:tc>
          <w:tcPr>
            <w:tcW w:type="dxa" w:w="35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Empadronarse en la nueva dirección antes de que pasen 30 días desde la entrada en la vivienda</w:t>
            </w:r>
          </w:p>
        </w:tc>
      </w:tr>
    </w:tbl>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6E4F0" w:val="clear"/>
            <w:tcMar>
              <w:top w:type="dxa" w:w="120"/>
              <w:left w:type="dxa" w:w="200"/>
              <w:bottom w:type="dxa" w:w="120"/>
              <w:right w:type="dxa" w:w="200"/>
            </w:tcMar>
          </w:tcPr>
          <w:p>
            <w:pPr>
              <w:spacing w:after="80" w:before="0"/>
            </w:pPr>
            <w:r>
              <w:rPr>
                <w:rFonts w:ascii="Arial" w:cs="Arial" w:eastAsia="Arial" w:hAnsi="Arial"/>
                <w:b/>
                <w:bCs/>
                <w:color w:val="1F4E79"/>
                <w:sz w:val="22"/>
                <w:szCs w:val="22"/>
              </w:rPr>
              <w:t xml:space="preserve">EJEMPLO PRÁCTICO: DE OBJETIVO VAGO A OBJETIVO SMART</w:t>
            </w:r>
          </w:p>
          <w:p>
            <w:pPr>
              <w:spacing w:after="60" w:before="40" w:line="276"/>
              <w:jc w:val="both"/>
            </w:pPr>
            <w:r>
              <w:rPr>
                <w:rFonts w:ascii="Arial" w:cs="Arial" w:eastAsia="Arial" w:hAnsi="Arial"/>
                <w:color w:val="000000"/>
                <w:sz w:val="21"/>
                <w:szCs w:val="21"/>
              </w:rPr>
              <w:t xml:space="preserve">OBJETIVO VAGO: 'Mejorar la relación con la familia.'</w:t>
            </w:r>
          </w:p>
          <w:p>
            <w:pPr>
              <w:spacing w:after="60" w:before="40" w:line="276"/>
              <w:jc w:val="both"/>
            </w:pPr>
            <w:r>
              <w:rPr>
                <w:rFonts w:ascii="Arial" w:cs="Arial" w:eastAsia="Arial" w:hAnsi="Arial"/>
                <w:color w:val="000000"/>
                <w:sz w:val="21"/>
                <w:szCs w:val="21"/>
              </w:rPr>
              <w:t xml:space="preserve">Problema: No dice qué familia, qué mejora, cómo, cuándo ni cómo sabremos si se ha conseguido.</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OBJETIVO SMART: 'Antes del 31 de enero, llamar por teléfono a su hermano al menos una vez, con el apoyo del técnico para preparar la llamada si la persona lo solicita. Indicador: la llamada se ha realizado y la persona refiere que fue satisfactoria.'</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La diferencia no es burocrática: un objetivo bien formulado orienta las acciones concretas, permite evaluar el avance y proporciona a la persona una sensación de logro cuando se consigue. La acumulación de pequeños objetivos SMART conseguidos es uno de los motores más potentes de la recuperación.</w:t>
            </w:r>
          </w:p>
        </w:tc>
      </w:tr>
    </w:tbl>
    <w:p>
      <w:pPr>
        <w:spacing w:after="120" w:before="120"/>
      </w:pPr>
      <w:r>
        <w:t xml:space="preserve"/>
      </w:r>
    </w:p>
    <w:p>
      <w:pPr>
        <w:pStyle w:val="Heading1"/>
        <w:pageBreakBefore/>
        <w:spacing w:after="240" w:before="0"/>
      </w:pPr>
      <w:r>
        <w:rPr>
          <w:rFonts w:ascii="Arial" w:cs="Arial" w:eastAsia="Arial" w:hAnsi="Arial"/>
          <w:b/>
          <w:bCs/>
          <w:color w:val="FFFFFF"/>
          <w:sz w:val="32"/>
          <w:szCs w:val="32"/>
        </w:rPr>
        <w:t xml:space="preserve">MÓDULO 16: INTERVENCIÓN EN CRISIS Y SITUACIONES DIFÍCILES</w:t>
      </w:r>
    </w:p>
    <w:p>
      <w:pPr>
        <w:pStyle w:val="Heading2"/>
        <w:spacing w:after="160" w:before="280"/>
      </w:pPr>
      <w:r>
        <w:rPr>
          <w:rFonts w:ascii="Arial" w:cs="Arial" w:eastAsia="Arial" w:hAnsi="Arial"/>
          <w:b/>
          <w:bCs/>
          <w:color w:val="1F4E79"/>
          <w:sz w:val="26"/>
          <w:szCs w:val="26"/>
        </w:rPr>
        <w:t xml:space="preserve">16.1. Las Crisis en el Contexto Housing First</w:t>
      </w:r>
    </w:p>
    <w:p>
      <w:pPr>
        <w:spacing w:after="140" w:before="80" w:line="276"/>
        <w:jc w:val="both"/>
      </w:pPr>
      <w:r>
        <w:rPr>
          <w:rFonts w:ascii="Arial" w:cs="Arial" w:eastAsia="Arial" w:hAnsi="Arial"/>
          <w:b w:val="false"/>
          <w:bCs w:val="false"/>
          <w:i w:val="false"/>
          <w:iCs w:val="false"/>
          <w:color w:val="000000"/>
          <w:sz w:val="22"/>
          <w:szCs w:val="22"/>
        </w:rPr>
        <w:t xml:space="preserve">Las crisis son parte inevitable e incluso esperada del trabajo en Housing First. Las personas participantes en el programa han vivido durante años en condiciones de extrema vulnerabilidad, con recursos de afrontamiento muy erosionados, y atraviesan periodos de desestabilización que pueden poner en riesgo su bienestar, su alojamiento y en algunos casos su vida o la de terceros. La manera en que el equipo gestiona las crisis determina en gran medida la solidez de la relación terapéutica y la capacidad del programa para retener a las personas más difíciles.</w:t>
      </w:r>
    </w:p>
    <w:p>
      <w:pPr>
        <w:spacing w:after="140" w:before="80" w:line="276"/>
        <w:jc w:val="both"/>
      </w:pPr>
      <w:r>
        <w:rPr>
          <w:rFonts w:ascii="Arial" w:cs="Arial" w:eastAsia="Arial" w:hAnsi="Arial"/>
          <w:b w:val="false"/>
          <w:bCs w:val="false"/>
          <w:i w:val="false"/>
          <w:iCs w:val="false"/>
          <w:color w:val="000000"/>
          <w:sz w:val="22"/>
          <w:szCs w:val="22"/>
        </w:rPr>
        <w:t xml:space="preserve">Un principio fundamental en la gestión de crisis desde el modelo HF: la crisis no se gestiona con la amenaza de pérdida del alojamiento. Esto es a la vez una exigencia ética y una evidencia empírica — la amenaza de desalojo en un momento de crisis agudiza la crisis y aleja a la persona del equipo en el momento en que más necesita apoyo.</w:t>
      </w:r>
    </w:p>
    <w:p>
      <w:pPr>
        <w:pStyle w:val="Heading2"/>
        <w:spacing w:after="160" w:before="280"/>
      </w:pPr>
      <w:r>
        <w:rPr>
          <w:rFonts w:ascii="Arial" w:cs="Arial" w:eastAsia="Arial" w:hAnsi="Arial"/>
          <w:b/>
          <w:bCs/>
          <w:color w:val="1F4E79"/>
          <w:sz w:val="26"/>
          <w:szCs w:val="26"/>
        </w:rPr>
        <w:t xml:space="preserve">16.2. Tipología de Crisis y Protocolos de Respuesta</w:t>
      </w:r>
    </w:p>
    <w:p>
      <w:pPr>
        <w:pStyle w:val="Heading3"/>
        <w:spacing w:after="120" w:before="200"/>
      </w:pPr>
      <w:r>
        <w:rPr>
          <w:rFonts w:ascii="Arial" w:cs="Arial" w:eastAsia="Arial" w:hAnsi="Arial"/>
          <w:b/>
          <w:bCs/>
          <w:color w:val="2E75B6"/>
          <w:sz w:val="24"/>
          <w:szCs w:val="24"/>
        </w:rPr>
        <w:t xml:space="preserve">Crisis Psiquiátrica Aguda</w:t>
      </w:r>
    </w:p>
    <w:p>
      <w:pPr>
        <w:spacing w:after="140" w:before="80" w:line="276"/>
        <w:jc w:val="both"/>
      </w:pPr>
      <w:r>
        <w:rPr>
          <w:rFonts w:ascii="Arial" w:cs="Arial" w:eastAsia="Arial" w:hAnsi="Arial"/>
          <w:b w:val="false"/>
          <w:bCs w:val="false"/>
          <w:i w:val="false"/>
          <w:iCs w:val="false"/>
          <w:color w:val="000000"/>
          <w:sz w:val="22"/>
          <w:szCs w:val="22"/>
        </w:rPr>
        <w:t xml:space="preserve">La crisis psiquiátrica aguda (descompensación de un trastorno mental con riesgo para la persona o para terceros) es la situación de mayor complejidad clínica y legal en Housing First. El margen entre respetar la autonomía de la persona y proteger su seguridad es estrecho y a veces imposible de mantener sin activar recursos de urgencia.</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3026"/>
        <w:gridCol w:w="4000"/>
      </w:tblGrid>
      <w:tr>
        <w:trPr>
          <w:tblHeader/>
        </w:trPr>
        <w:tc>
          <w:tcPr>
            <w:tcW w:type="dxa" w:w="2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Nivel de crisis</w:t>
            </w:r>
          </w:p>
        </w:tc>
        <w:tc>
          <w:tcPr>
            <w:tcW w:type="dxa" w:w="30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Señales de alerta</w:t>
            </w:r>
          </w:p>
        </w:tc>
        <w:tc>
          <w:tcPr>
            <w:tcW w:type="dxa" w:w="4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Respuesta del equipo</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Nivel 1 — Alerta temprana</w:t>
            </w:r>
          </w:p>
        </w:tc>
        <w:tc>
          <w:tcPr>
            <w:tcW w:type="dxa" w:w="3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Cambios de humor, desestructuración del sueño, aislamiento inusual, abandono de medicación, señales verbales de malestar</w:t>
            </w:r>
          </w:p>
        </w:tc>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Aumento de la frecuencia de contacto. Visita no programada si no responde a llamadas. Coordinación con psiquiatra de referencia. Refuerzo de alianza terapéutica.</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Nivel 2 — Crisis moderada</w:t>
            </w:r>
          </w:p>
        </w:tc>
        <w:tc>
          <w:tcPr>
            <w:tcW w:type="dxa" w:w="3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Agitación significativa, pensamiento desorganizado evidente, conducta de riesgo leve (consumo masivo, descuido de la higiene, negativa a comer), discurso amenazante sin intención clara</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Contacto inmediato con el CSMA / dispositivo de urgencias de salud mental. Acompañamiento a urgencias si la persona consiente. Comunicación al coordinador. Planificación de refuerzo de apoyos.</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Nivel 3 — Crisis grave</w:t>
            </w:r>
          </w:p>
        </w:tc>
        <w:tc>
          <w:tcPr>
            <w:tcW w:type="dxa" w:w="3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Conducta violenta activa, intentos de autolesión o suicidio, amenazas directas creíbles a terceros, episodio psicótico con desconexión total de la realidad</w:t>
            </w:r>
          </w:p>
        </w:tc>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Llamada al 112. Coordinación con servicios de urgencias. Si hay riesgo inmediato para la vida: posibilidad de ingreso involuntario (art. 763 LEC). Comunicación al coordinador y al director. Registro detallado del incidente.</w:t>
            </w:r>
          </w:p>
        </w:tc>
      </w:tr>
    </w:tbl>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FCE4E4" w:val="clear"/>
            <w:tcMar>
              <w:top w:type="dxa" w:w="120"/>
              <w:left w:type="dxa" w:w="200"/>
              <w:bottom w:type="dxa" w:w="120"/>
              <w:right w:type="dxa" w:w="200"/>
            </w:tcMar>
          </w:tcPr>
          <w:p>
            <w:pPr>
              <w:spacing w:after="80" w:before="0"/>
            </w:pPr>
            <w:r>
              <w:rPr>
                <w:rFonts w:ascii="Arial" w:cs="Arial" w:eastAsia="Arial" w:hAnsi="Arial"/>
                <w:b/>
                <w:bCs/>
                <w:color w:val="7B1010"/>
                <w:sz w:val="22"/>
                <w:szCs w:val="22"/>
              </w:rPr>
              <w:t xml:space="preserve">EL INGRESO INVOLUNTARIO: MARCO LEGAL Y CONSIDERACIONES ÉTICAS</w:t>
            </w:r>
          </w:p>
          <w:p>
            <w:pPr>
              <w:spacing w:after="60" w:before="40" w:line="276"/>
              <w:jc w:val="both"/>
            </w:pPr>
            <w:r>
              <w:rPr>
                <w:rFonts w:ascii="Arial" w:cs="Arial" w:eastAsia="Arial" w:hAnsi="Arial"/>
                <w:color w:val="000000"/>
                <w:sz w:val="21"/>
                <w:szCs w:val="21"/>
              </w:rPr>
              <w:t xml:space="preserve">El internamiento involuntario por razón de trastorno psíquico está regulado en España por el artículo 763 de la Ley de Enjuiciamiento Civil. Solo puede decretarlo el juez competente, aunque en casos de urgencia puede ejecutarse previamente comunicándolo al juzgado en el plazo de 24 horas. Los requisitos son: existencia de un trastorno mental, necesidad de tratamiento que no puede prestarse de otro modo, y riesgo grave e inminente para la salud o la seguridad de la persona o de terceros.</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Desde la perspectiva HF, el ingreso involuntario es siempre el último recurso, no el primero. Antes de llegar a él, el equipo debe haber agotado: la intervención motivacional para conseguir el consentimiento voluntario, el contacto con el psiquiatra de referencia, la activación del equipo de crisis de salud mental del territorio, y la consulta jurídica si el tiempo lo permite.</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Cuando se produce un ingreso involuntario, el equipo mantiene el contacto con la persona durante el ingreso (si el centro lo permite) y planifica activamente el alta para evitar que la persona pierda la vivienda por el tiempo de hospitalización.</w:t>
            </w:r>
          </w:p>
        </w:tc>
      </w:tr>
    </w:tbl>
    <w:p>
      <w:pPr>
        <w:spacing w:after="120" w:before="120"/>
      </w:pPr>
      <w:r>
        <w:t xml:space="preserve"/>
      </w:r>
    </w:p>
    <w:p>
      <w:pPr>
        <w:pStyle w:val="Heading3"/>
        <w:spacing w:after="120" w:before="200"/>
      </w:pPr>
      <w:r>
        <w:rPr>
          <w:rFonts w:ascii="Arial" w:cs="Arial" w:eastAsia="Arial" w:hAnsi="Arial"/>
          <w:b/>
          <w:bCs/>
          <w:color w:val="2E75B6"/>
          <w:sz w:val="24"/>
          <w:szCs w:val="24"/>
        </w:rPr>
        <w:t xml:space="preserve">Crisis por Sobredosis</w:t>
      </w:r>
    </w:p>
    <w:p>
      <w:pPr>
        <w:spacing w:after="140" w:before="80" w:line="276"/>
        <w:jc w:val="both"/>
      </w:pPr>
      <w:r>
        <w:rPr>
          <w:rFonts w:ascii="Arial" w:cs="Arial" w:eastAsia="Arial" w:hAnsi="Arial"/>
          <w:b w:val="false"/>
          <w:bCs w:val="false"/>
          <w:i w:val="false"/>
          <w:iCs w:val="false"/>
          <w:color w:val="000000"/>
          <w:sz w:val="22"/>
          <w:szCs w:val="22"/>
        </w:rPr>
        <w:t xml:space="preserve">Las sobredosis son una emergencia médica que puede producirse en el domicilio o en el entorno comunitario. El equipo debe estar formado para reconocerlas y para activar los recursos adecuados. La formación en el uso de naloxona (Narcan) para la reversión de sobredosis por opiáceos es una medida de reducción de daños de primera línea que puede salvar vidas.</w:t>
      </w:r>
    </w:p>
    <w:p>
      <w:pPr>
        <w:pStyle w:val="ListParagraph"/>
        <w:numPr>
          <w:ilvl w:val="0"/>
          <w:numId w:val="2"/>
        </w:numPr>
        <w:spacing w:after="80" w:before="60" w:line="276"/>
      </w:pPr>
      <w:r>
        <w:rPr>
          <w:rFonts w:ascii="Arial" w:cs="Arial" w:eastAsia="Arial" w:hAnsi="Arial"/>
          <w:color w:val="000000"/>
          <w:sz w:val="22"/>
          <w:szCs w:val="22"/>
        </w:rPr>
        <w:t xml:space="preserve">Señales de sobredosis por opiáceos: pérdida de conciencia, respiración muy lenta o parada, labios o uñas azulados, pupilas puntiformes, imposibilidad de despertar a la persona.</w:t>
      </w:r>
    </w:p>
    <w:p>
      <w:pPr>
        <w:pStyle w:val="ListParagraph"/>
        <w:numPr>
          <w:ilvl w:val="0"/>
          <w:numId w:val="2"/>
        </w:numPr>
        <w:spacing w:after="80" w:before="60" w:line="276"/>
      </w:pPr>
      <w:r>
        <w:rPr>
          <w:rFonts w:ascii="Arial" w:cs="Arial" w:eastAsia="Arial" w:hAnsi="Arial"/>
          <w:color w:val="000000"/>
          <w:sz w:val="22"/>
          <w:szCs w:val="22"/>
        </w:rPr>
        <w:t xml:space="preserve">Señales de sobredosis por estimulantes (cocaína, anfetaminas): agitación extrema, temperatura corporal muy elevada, convulsiones, dolor torácico.</w:t>
      </w:r>
    </w:p>
    <w:p>
      <w:pPr>
        <w:pStyle w:val="ListParagraph"/>
        <w:numPr>
          <w:ilvl w:val="0"/>
          <w:numId w:val="2"/>
        </w:numPr>
        <w:spacing w:after="80" w:before="60" w:line="276"/>
      </w:pPr>
      <w:r>
        <w:rPr>
          <w:rFonts w:ascii="Arial" w:cs="Arial" w:eastAsia="Arial" w:hAnsi="Arial"/>
          <w:color w:val="000000"/>
          <w:sz w:val="22"/>
          <w:szCs w:val="22"/>
        </w:rPr>
        <w:t xml:space="preserve">Respuesta inmediata: llamar al 112, posición lateral de seguridad, administración de naloxona si disponible y si hay signos de sobredosis por opiáceos, no dejar sola a la persona.</w:t>
      </w:r>
    </w:p>
    <w:p>
      <w:pPr>
        <w:pStyle w:val="ListParagraph"/>
        <w:numPr>
          <w:ilvl w:val="0"/>
          <w:numId w:val="2"/>
        </w:numPr>
        <w:spacing w:after="80" w:before="60" w:line="276"/>
      </w:pPr>
      <w:r>
        <w:rPr>
          <w:rFonts w:ascii="Arial" w:cs="Arial" w:eastAsia="Arial" w:hAnsi="Arial"/>
          <w:color w:val="000000"/>
          <w:sz w:val="22"/>
          <w:szCs w:val="22"/>
        </w:rPr>
        <w:t xml:space="preserve">Protocolo posterior: visita de seguimiento al alta hospitalaria si hubo ingreso, trabajo sobre el incidente con la persona cuando está estable, revisión del plan de reducción de daños.</w:t>
      </w:r>
    </w:p>
    <w:p>
      <w:pPr>
        <w:pStyle w:val="Heading3"/>
        <w:spacing w:after="120" w:before="200"/>
      </w:pPr>
      <w:r>
        <w:rPr>
          <w:rFonts w:ascii="Arial" w:cs="Arial" w:eastAsia="Arial" w:hAnsi="Arial"/>
          <w:b/>
          <w:bCs/>
          <w:color w:val="2E75B6"/>
          <w:sz w:val="24"/>
          <w:szCs w:val="24"/>
        </w:rPr>
        <w:t xml:space="preserve">Crisis de Convivencia y Riesgo de Pérdida de Vivienda</w:t>
      </w:r>
    </w:p>
    <w:p>
      <w:pPr>
        <w:spacing w:after="140" w:before="80" w:line="276"/>
        <w:jc w:val="both"/>
      </w:pPr>
      <w:r>
        <w:rPr>
          <w:rFonts w:ascii="Arial" w:cs="Arial" w:eastAsia="Arial" w:hAnsi="Arial"/>
          <w:b w:val="false"/>
          <w:bCs w:val="false"/>
          <w:i w:val="false"/>
          <w:iCs w:val="false"/>
          <w:color w:val="000000"/>
          <w:sz w:val="22"/>
          <w:szCs w:val="22"/>
        </w:rPr>
        <w:t xml:space="preserve">Aunque la incondicionalidad del alojamiento es un principio del modelo, existen situaciones en las que el mantenimiento de la vivienda se ve amenazado por factores externos (presión del propietario, proceso de desahucio iniciado, conflicto vecinal grave) o internos (deterioro severo de la vivienda, impago del alquiler cuando hay ingresos disponibles). La gestión de estas situaciones requiere una respuesta coordinada y rápida:</w:t>
      </w:r>
    </w:p>
    <w:p>
      <w:pPr>
        <w:pStyle w:val="ListParagraph"/>
        <w:numPr>
          <w:ilvl w:val="0"/>
          <w:numId w:val="3"/>
        </w:numPr>
        <w:spacing w:after="80" w:before="60" w:line="276"/>
      </w:pPr>
      <w:r>
        <w:rPr>
          <w:rFonts w:ascii="Arial" w:cs="Arial" w:eastAsia="Arial" w:hAnsi="Arial"/>
          <w:color w:val="000000"/>
          <w:sz w:val="22"/>
          <w:szCs w:val="22"/>
        </w:rPr>
        <w:t xml:space="preserve">Evaluación inmediata de la situación: ¿Cuál es el plazo real? ¿Qué han iniciado el propietario o la comunidad de vecinos? ¿Hay un proceso judicial en curso?</w:t>
      </w:r>
    </w:p>
    <w:p>
      <w:pPr>
        <w:pStyle w:val="ListParagraph"/>
        <w:numPr>
          <w:ilvl w:val="0"/>
          <w:numId w:val="3"/>
        </w:numPr>
        <w:spacing w:after="80" w:before="60" w:line="276"/>
      </w:pPr>
      <w:r>
        <w:rPr>
          <w:rFonts w:ascii="Arial" w:cs="Arial" w:eastAsia="Arial" w:hAnsi="Arial"/>
          <w:color w:val="000000"/>
          <w:sz w:val="22"/>
          <w:szCs w:val="22"/>
        </w:rPr>
        <w:t xml:space="preserve">Intervención con la persona: trabajo intensivo sobre la situación, sin amenazas, buscando compromisos concretos y alcanzables en el plazo disponible.</w:t>
      </w:r>
    </w:p>
    <w:p>
      <w:pPr>
        <w:pStyle w:val="ListParagraph"/>
        <w:numPr>
          <w:ilvl w:val="0"/>
          <w:numId w:val="3"/>
        </w:numPr>
        <w:spacing w:after="80" w:before="60" w:line="276"/>
      </w:pPr>
      <w:r>
        <w:rPr>
          <w:rFonts w:ascii="Arial" w:cs="Arial" w:eastAsia="Arial" w:hAnsi="Arial"/>
          <w:color w:val="000000"/>
          <w:sz w:val="22"/>
          <w:szCs w:val="22"/>
        </w:rPr>
        <w:t xml:space="preserve">Intervención con el propietario o la comunidad: mediación activa, compromisos del programa, gestión de los aspectos más urgentes (limpieza, ruidos, reparaciones).</w:t>
      </w:r>
    </w:p>
    <w:p>
      <w:pPr>
        <w:pStyle w:val="ListParagraph"/>
        <w:numPr>
          <w:ilvl w:val="0"/>
          <w:numId w:val="3"/>
        </w:numPr>
        <w:spacing w:after="80" w:before="60" w:line="276"/>
      </w:pPr>
      <w:r>
        <w:rPr>
          <w:rFonts w:ascii="Arial" w:cs="Arial" w:eastAsia="Arial" w:hAnsi="Arial"/>
          <w:color w:val="000000"/>
          <w:sz w:val="22"/>
          <w:szCs w:val="22"/>
        </w:rPr>
        <w:t xml:space="preserve">Asesoramiento jurídico: si hay proceso judicial iniciado, consulta inmediata con el servicio de orientación jurídica del territorio o con abogado colaborador.</w:t>
      </w:r>
    </w:p>
    <w:p>
      <w:pPr>
        <w:pStyle w:val="ListParagraph"/>
        <w:numPr>
          <w:ilvl w:val="0"/>
          <w:numId w:val="3"/>
        </w:numPr>
        <w:spacing w:after="80" w:before="60" w:line="276"/>
      </w:pPr>
      <w:r>
        <w:rPr>
          <w:rFonts w:ascii="Arial" w:cs="Arial" w:eastAsia="Arial" w:hAnsi="Arial"/>
          <w:color w:val="000000"/>
          <w:sz w:val="22"/>
          <w:szCs w:val="22"/>
        </w:rPr>
        <w:t xml:space="preserve">Plan B de alojamiento: si la pérdida de vivienda es inevitable, planificación anticipada de la siguiente vivienda para minimizar el tiempo en la calle. La reincorporación al programa desde una nueva vivienda es posible y prevista en el modelo.</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FFF2CC" w:val="clear"/>
            <w:tcMar>
              <w:top w:type="dxa" w:w="120"/>
              <w:left w:type="dxa" w:w="200"/>
              <w:bottom w:type="dxa" w:w="120"/>
              <w:right w:type="dxa" w:w="200"/>
            </w:tcMar>
          </w:tcPr>
          <w:p>
            <w:pPr>
              <w:spacing w:after="80" w:before="0"/>
            </w:pPr>
            <w:r>
              <w:rPr>
                <w:rFonts w:ascii="Arial" w:cs="Arial" w:eastAsia="Arial" w:hAnsi="Arial"/>
                <w:b/>
                <w:bCs/>
                <w:color w:val="7F4F00"/>
                <w:sz w:val="22"/>
                <w:szCs w:val="22"/>
              </w:rPr>
              <w:t xml:space="preserve">SOBRE LA PÉRDIDA DE VIVIENDA: UN FRACASO DEL SISTEMA, NO DE LA PERSONA</w:t>
            </w:r>
          </w:p>
          <w:p>
            <w:pPr>
              <w:spacing w:after="60" w:before="40" w:line="276"/>
              <w:jc w:val="both"/>
            </w:pPr>
            <w:r>
              <w:rPr>
                <w:rFonts w:ascii="Arial" w:cs="Arial" w:eastAsia="Arial" w:hAnsi="Arial"/>
                <w:color w:val="000000"/>
                <w:sz w:val="21"/>
                <w:szCs w:val="21"/>
              </w:rPr>
              <w:t xml:space="preserve">Cuando una persona pierde su vivienda en un programa Housing First, la primera reacción de muchos profesionales es interpretarlo como un fracaso de la persona. Desde la perspectiva HF, la interpretación correcta es la contraria: es una señal de que el programa no fue capaz de ofrecer los apoyos adecuados en el momento adecuado.</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La pérdida de vivienda no es el fin del proceso. En proyectos con larga trayectoria, una proporción significativa de las personas que pierden su primera vivienda vuelven al programa desde una segunda. Lo aprendido en la primera experiencia — lo que funcionó y lo que no — sirve de base para un segundo proceso más sólido. El equipo debe mantener el contacto y la relación con la persona incluso cuando está temporalmente fuera del programa.</w:t>
            </w:r>
          </w:p>
        </w:tc>
      </w:tr>
    </w:tbl>
    <w:p>
      <w:pPr>
        <w:spacing w:after="120" w:before="120"/>
      </w:pPr>
      <w:r>
        <w:t xml:space="preserve"/>
      </w:r>
    </w:p>
    <w:p>
      <w:pPr>
        <w:pStyle w:val="Heading3"/>
        <w:spacing w:after="120" w:before="200"/>
      </w:pPr>
      <w:r>
        <w:rPr>
          <w:rFonts w:ascii="Arial" w:cs="Arial" w:eastAsia="Arial" w:hAnsi="Arial"/>
          <w:b/>
          <w:bCs/>
          <w:color w:val="2E75B6"/>
          <w:sz w:val="24"/>
          <w:szCs w:val="24"/>
        </w:rPr>
        <w:t xml:space="preserve">Crisis Relacionadas con Situaciones de Violencia</w:t>
      </w:r>
    </w:p>
    <w:p>
      <w:pPr>
        <w:spacing w:after="140" w:before="80" w:line="276"/>
        <w:jc w:val="both"/>
      </w:pPr>
      <w:r>
        <w:rPr>
          <w:rFonts w:ascii="Arial" w:cs="Arial" w:eastAsia="Arial" w:hAnsi="Arial"/>
          <w:b w:val="false"/>
          <w:bCs w:val="false"/>
          <w:i w:val="false"/>
          <w:iCs w:val="false"/>
          <w:color w:val="000000"/>
          <w:sz w:val="22"/>
          <w:szCs w:val="22"/>
        </w:rPr>
        <w:t xml:space="preserve">Las situaciones de violencia en el entorno de los participantes requieren protocolos específicos diferenciados según la dirección de la violencia:</w:t>
      </w:r>
    </w:p>
    <w:p>
      <w:pPr>
        <w:pStyle w:val="ListParagraph"/>
        <w:numPr>
          <w:ilvl w:val="0"/>
          <w:numId w:val="2"/>
        </w:numPr>
        <w:spacing w:after="80" w:before="60" w:line="276"/>
      </w:pPr>
      <w:r>
        <w:rPr>
          <w:rFonts w:ascii="Arial" w:cs="Arial" w:eastAsia="Arial" w:hAnsi="Arial"/>
          <w:color w:val="000000"/>
          <w:sz w:val="22"/>
          <w:szCs w:val="22"/>
        </w:rPr>
        <w:t xml:space="preserve">Violencia recibida por el participante (victimización): el técnico debe conocer y activar los recursos de atención a víctimas del territorio. En el caso de mujeres víctimas de violencia de género, coordinación con el dispositivo específico (Casa de Acogida, ATENPRO, Juzgado de Violencia sobre la Mujer). Acompañamiento en la denuncia si la persona lo desea.</w:t>
      </w:r>
    </w:p>
    <w:p>
      <w:pPr>
        <w:pStyle w:val="ListParagraph"/>
        <w:numPr>
          <w:ilvl w:val="0"/>
          <w:numId w:val="2"/>
        </w:numPr>
        <w:spacing w:after="80" w:before="60" w:line="276"/>
      </w:pPr>
      <w:r>
        <w:rPr>
          <w:rFonts w:ascii="Arial" w:cs="Arial" w:eastAsia="Arial" w:hAnsi="Arial"/>
          <w:color w:val="000000"/>
          <w:sz w:val="22"/>
          <w:szCs w:val="22"/>
        </w:rPr>
        <w:t xml:space="preserve">Violencia ejercida por el participante hacia vecinos o terceros: respuesta proporcional a la gravedad. En conductas leves, trabajo motivacional. En conductas de riesgo grave, coordinación con servicios de salud mental y, si hay delito, comunicación a los cuerpos de seguridad siguiendo los protocolos legalmente establecidos.</w:t>
      </w:r>
    </w:p>
    <w:p>
      <w:pPr>
        <w:pStyle w:val="ListParagraph"/>
        <w:numPr>
          <w:ilvl w:val="0"/>
          <w:numId w:val="2"/>
        </w:numPr>
        <w:spacing w:after="80" w:before="60" w:line="276"/>
      </w:pPr>
      <w:r>
        <w:rPr>
          <w:rFonts w:ascii="Arial" w:cs="Arial" w:eastAsia="Arial" w:hAnsi="Arial"/>
          <w:color w:val="000000"/>
          <w:sz w:val="22"/>
          <w:szCs w:val="22"/>
        </w:rPr>
        <w:t xml:space="preserve">Violencia intrafamiliar: si hay menores en situación de riesgo en el entorno de la persona (por ejemplo, en visitas de hijos o sobrinos), el técnico está obligado por ley a comunicarlo a los servicios de protección de menores.</w:t>
      </w:r>
    </w:p>
    <w:p>
      <w:pPr>
        <w:pStyle w:val="Heading2"/>
        <w:spacing w:after="160" w:before="280"/>
      </w:pPr>
      <w:r>
        <w:rPr>
          <w:rFonts w:ascii="Arial" w:cs="Arial" w:eastAsia="Arial" w:hAnsi="Arial"/>
          <w:b/>
          <w:bCs/>
          <w:color w:val="1F4E79"/>
          <w:sz w:val="26"/>
          <w:szCs w:val="26"/>
        </w:rPr>
        <w:t xml:space="preserve">16.3. El Plan de Crisis Individual</w:t>
      </w:r>
    </w:p>
    <w:p>
      <w:pPr>
        <w:spacing w:after="140" w:before="80" w:line="276"/>
        <w:jc w:val="both"/>
      </w:pPr>
      <w:r>
        <w:rPr>
          <w:rFonts w:ascii="Arial" w:cs="Arial" w:eastAsia="Arial" w:hAnsi="Arial"/>
          <w:b w:val="false"/>
          <w:bCs w:val="false"/>
          <w:i w:val="false"/>
          <w:iCs w:val="false"/>
          <w:color w:val="000000"/>
          <w:sz w:val="22"/>
          <w:szCs w:val="22"/>
        </w:rPr>
        <w:t xml:space="preserve">El plan de crisis individual es un documento elaborado con la propia persona en un momento de estabilidad, que recoge: las señales de alarma propias de esa persona antes de una descompensación, las estrategias de afrontamiento que le han resultado útiles en el pasado, los contactos de emergencia de su entorno, y el protocolo de actuación que ha acordado con el equipo si se produce una crisis.</w:t>
      </w:r>
    </w:p>
    <w:p>
      <w:pPr>
        <w:spacing w:after="140" w:before="80" w:line="276"/>
        <w:jc w:val="both"/>
      </w:pPr>
      <w:r>
        <w:rPr>
          <w:rFonts w:ascii="Arial" w:cs="Arial" w:eastAsia="Arial" w:hAnsi="Arial"/>
          <w:b w:val="false"/>
          <w:bCs w:val="false"/>
          <w:i w:val="false"/>
          <w:iCs w:val="false"/>
          <w:color w:val="000000"/>
          <w:sz w:val="22"/>
          <w:szCs w:val="22"/>
        </w:rPr>
        <w:t xml:space="preserve">Este documento, actualizado regularmente y accesible para todo el equipo, es una herramienta de prevención muy eficaz que además potencia la agencia de la persona: es ella quien define sus propias señales de alarma y sus propias estrategias de afrontamiento, no el equipo que las impone desde fuera.</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PLAN DE CRISIS INDIVIDUAL</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PLANTILLA GENÉRICA (ANONIMIZADA)</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DATOS DEL CASO</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Código del caso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Iniciales o código interno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Técnico/a de referencia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Fecha de elaboración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dd/mm/aaaa</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MIS SEÑALES DE ALARMA</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¿Cómo me doy cuenta de que me estoy desestabilizando?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Descripción en primera persona: cambios de sueño, irritabilidad, aislamiento, vuelta al consumo, etc.</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¿Qué dicen los demás que cambia en mí?</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Según el técnico o personas de confianza</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ESTRATEGIAS QUE ME AYUDAN</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¿Qué me ha funcionado en el pasado ante una crisis?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Ej.: caminar, llamar a mi hermano, escuchar música, avisar al técnico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¿Qué me pone peor o debo evitar?</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Ej.: estar solo por la noche, beber cuando estoy ansioso</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CONTACTOS EN CASO DE CRISIS</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Técnico/a de referencia (horario laboral)</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Teléfono del programa / horario de atención</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Recurso de urgencias de salud mental</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Teléfono del CSMA / USMC de guardia del territorio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Contacto personal de confianza (si existe)</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Nombre y teléfono (con autorización de la persona)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Urgencias generales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112</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ACUERDOS CON EL EQUIPO</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Si el equipo detecta las señales, puede...</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Ej.: llamarme sin avisar, visitar el domicilio, contactar con el psiquiatra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Si yo necesito ayuda urgente, haré...</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Protocolo acordado por la persona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Lo que NO quiero que haga el equipo sin consultarme</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Límites de la persona: respetar su autonomía incluso en la crisis</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FIRMAS</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Firma de la persona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Fecha: ___________</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Firma del/la técnico/a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Fecha: ___________</w:t>
            </w:r>
          </w:p>
        </w:tc>
      </w:tr>
    </w:tbl>
    <w:p>
      <w:pPr>
        <w:spacing w:after="120" w:before="120"/>
      </w:pPr>
      <w:r>
        <w:t xml:space="preserve"/>
      </w:r>
    </w:p>
    <w:p>
      <w:pPr>
        <w:pStyle w:val="Heading1"/>
        <w:pageBreakBefore/>
        <w:spacing w:after="240" w:before="0"/>
      </w:pPr>
      <w:r>
        <w:rPr>
          <w:rFonts w:ascii="Arial" w:cs="Arial" w:eastAsia="Arial" w:hAnsi="Arial"/>
          <w:b/>
          <w:bCs/>
          <w:color w:val="FFFFFF"/>
          <w:sz w:val="32"/>
          <w:szCs w:val="32"/>
        </w:rPr>
        <w:t xml:space="preserve">MÓDULO 17: FASE DE SALIDA DEL PROGRAMA</w:t>
      </w:r>
    </w:p>
    <w:p>
      <w:pPr>
        <w:pStyle w:val="Heading2"/>
        <w:spacing w:after="160" w:before="280"/>
      </w:pPr>
      <w:r>
        <w:rPr>
          <w:rFonts w:ascii="Arial" w:cs="Arial" w:eastAsia="Arial" w:hAnsi="Arial"/>
          <w:b/>
          <w:bCs/>
          <w:color w:val="1F4E79"/>
          <w:sz w:val="26"/>
          <w:szCs w:val="26"/>
        </w:rPr>
        <w:t xml:space="preserve">17.1. Tipos de Salida en Proyectos Housing First</w:t>
      </w:r>
    </w:p>
    <w:p>
      <w:pPr>
        <w:spacing w:after="140" w:before="80" w:line="276"/>
        <w:jc w:val="both"/>
      </w:pPr>
      <w:r>
        <w:rPr>
          <w:rFonts w:ascii="Arial" w:cs="Arial" w:eastAsia="Arial" w:hAnsi="Arial"/>
          <w:b w:val="false"/>
          <w:bCs w:val="false"/>
          <w:i w:val="false"/>
          <w:iCs w:val="false"/>
          <w:color w:val="000000"/>
          <w:sz w:val="22"/>
          <w:szCs w:val="22"/>
        </w:rPr>
        <w:t xml:space="preserve">La salida del programa es uno de los procesos menos teorizados y más importantes del Housing First. En un modelo que se define por la incondicionalidad y la ausencia de plazos máximos, la salida debe ser un proceso gestionado con el mismo cuidado que la acogida. No existe una única forma de salida: cada persona sale de manera diferente, y no todas las salidas son igualmente planificables.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3826"/>
      </w:tblGrid>
      <w:tr>
        <w:trPr>
          <w:tblHeader/>
        </w:trPr>
        <w:tc>
          <w:tcPr>
            <w:tcW w:type="dxa" w:w="2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Tipo de salida</w:t>
            </w:r>
          </w:p>
        </w:tc>
        <w:tc>
          <w:tcPr>
            <w:tcW w:type="dxa" w:w="3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Descripción</w:t>
            </w:r>
          </w:p>
        </w:tc>
        <w:tc>
          <w:tcPr>
            <w:tcW w:type="dxa" w:w="38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Abordaje desde HF</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Salida autónoma planificada</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La persona ha alcanzado un nivel de estabilidad que le permite acceder a una vivienda en el mercado libre o al parque de vivienda social con sus propios ingresos, asumiendo directamente el contrato de arrendamiento</w:t>
            </w:r>
          </w:p>
        </w:tc>
        <w:tc>
          <w:tcPr>
            <w:tcW w:type="dxa" w:w="38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Proceso de preparación de 3-6 meses. Transferencia progresiva de la gestión del alquiler y los suministros a la persona. Traspaso a recursos comunitarios. Seguimiento postcaso durante 6-12 meses.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Salida a recurso alternativo</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La persona accede a un recurso residencial más adecuado para sus necesidades en un momento dado: residencia de mayores, unidad de larga estancia psiquiátrica, recurso residencial de alta supervisión para personas con gran deterioro</w:t>
            </w:r>
          </w:p>
        </w:tc>
        <w:tc>
          <w:tcPr>
            <w:tcW w:type="dxa" w:w="3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Derivación coordinada. Asegurarse de que la persona comprende y acepta el cambio. Traspaso de información relevante al recurso receptor con consentimiento de la persona.</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Salida por fallecimiento</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La persona fallece durante su participación en el programa</w:t>
            </w:r>
          </w:p>
        </w:tc>
        <w:tc>
          <w:tcPr>
            <w:tcW w:type="dxa" w:w="38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Protocolo de cierre del expediente. Gestión de la vivienda. Atención al impacto del duelo en el equipo. Posible coordinación con familiares para gestión de pertenencias.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Salida voluntaria del programa</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La persona decide abandonar el programa, con o sin alojamiento alternativo garantizado</w:t>
            </w:r>
          </w:p>
        </w:tc>
        <w:tc>
          <w:tcPr>
            <w:tcW w:type="dxa" w:w="3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Respetar la decisión. Informar de las consecuencias. Dejar la puerta abierta para volver. No imponer condiciones para la salida. Cierre digno de la relación.</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Salida por resolución del arrendamiento</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En los casos excepcionales en que el comportamiento de la persona hace inviable el mantenimiento del arrendamiento (delito grave documentado)</w:t>
            </w:r>
          </w:p>
        </w:tc>
        <w:tc>
          <w:tcPr>
            <w:tcW w:type="dxa" w:w="38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Asesoramiento jurídico previo. Proceso formal con todas las garantías. Plan de alojamiento alternativo si es posible. Mantenimiento del apoyo del equipo incluso después de la salida de la vivienda.</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17.2. La Salida Autónoma Planificada: Proceso Detallado</w:t>
      </w:r>
    </w:p>
    <w:p>
      <w:pPr>
        <w:spacing w:after="140" w:before="80" w:line="276"/>
        <w:jc w:val="both"/>
      </w:pPr>
      <w:r>
        <w:rPr>
          <w:rFonts w:ascii="Arial" w:cs="Arial" w:eastAsia="Arial" w:hAnsi="Arial"/>
          <w:b w:val="false"/>
          <w:bCs w:val="false"/>
          <w:i w:val="false"/>
          <w:iCs w:val="false"/>
          <w:color w:val="000000"/>
          <w:sz w:val="22"/>
          <w:szCs w:val="22"/>
        </w:rPr>
        <w:t xml:space="preserve">La salida autónoma es el resultado más deseable del programa. Cuando se produce, debe gestionarse como un proceso de transición cuidadoso que minimice el riesgo de recaída en la inestabilidad residencial. Las siguientes fases orientan este proceso:</w:t>
      </w:r>
    </w:p>
    <w:p>
      <w:pPr>
        <w:pStyle w:val="ListParagraph"/>
        <w:numPr>
          <w:ilvl w:val="0"/>
          <w:numId w:val="3"/>
        </w:numPr>
        <w:spacing w:after="80" w:before="60" w:line="276"/>
      </w:pPr>
      <w:r>
        <w:rPr>
          <w:rFonts w:ascii="Arial" w:cs="Arial" w:eastAsia="Arial" w:hAnsi="Arial"/>
          <w:color w:val="000000"/>
          <w:sz w:val="22"/>
          <w:szCs w:val="22"/>
        </w:rPr>
        <w:t xml:space="preserve">Evaluación de la preparación: ¿Tiene la persona ingresos suficientes y estables para asumir el alquiler? ¿Tiene capacidad para gestionar de forma autónoma la relación con el propietario y los suministros? ¿Dispone de una red de apoyo mínima que le respalde en momentos de dificultad?</w:t>
      </w:r>
    </w:p>
    <w:p>
      <w:pPr>
        <w:pStyle w:val="ListParagraph"/>
        <w:numPr>
          <w:ilvl w:val="0"/>
          <w:numId w:val="3"/>
        </w:numPr>
        <w:spacing w:after="80" w:before="60" w:line="276"/>
      </w:pPr>
      <w:r>
        <w:rPr>
          <w:rFonts w:ascii="Arial" w:cs="Arial" w:eastAsia="Arial" w:hAnsi="Arial"/>
          <w:color w:val="000000"/>
          <w:sz w:val="22"/>
          <w:szCs w:val="22"/>
        </w:rPr>
        <w:t xml:space="preserve">Identificación de la vivienda de destino: si la persona va a acceder a una nueva vivienda en el mercado libre, apoyo en la búsqueda. Si va a asumir la vivienda actual (traspaso del contrato), negociación con el propietario.</w:t>
      </w:r>
    </w:p>
    <w:p>
      <w:pPr>
        <w:pStyle w:val="ListParagraph"/>
        <w:numPr>
          <w:ilvl w:val="0"/>
          <w:numId w:val="3"/>
        </w:numPr>
        <w:spacing w:after="80" w:before="60" w:line="276"/>
      </w:pPr>
      <w:r>
        <w:rPr>
          <w:rFonts w:ascii="Arial" w:cs="Arial" w:eastAsia="Arial" w:hAnsi="Arial"/>
          <w:color w:val="000000"/>
          <w:sz w:val="22"/>
          <w:szCs w:val="22"/>
        </w:rPr>
        <w:t xml:space="preserve">Planificación económica: cálculo detallado de los gastos fijos (alquiler, suministros, alimentación, transporte, medicación) frente a los ingresos disponibles. Identificación de prestaciones o recursos de apoyo económico que pueden activarse.</w:t>
      </w:r>
    </w:p>
    <w:p>
      <w:pPr>
        <w:pStyle w:val="ListParagraph"/>
        <w:numPr>
          <w:ilvl w:val="0"/>
          <w:numId w:val="3"/>
        </w:numPr>
        <w:spacing w:after="80" w:before="60" w:line="276"/>
      </w:pPr>
      <w:r>
        <w:rPr>
          <w:rFonts w:ascii="Arial" w:cs="Arial" w:eastAsia="Arial" w:hAnsi="Arial"/>
          <w:color w:val="000000"/>
          <w:sz w:val="22"/>
          <w:szCs w:val="22"/>
        </w:rPr>
        <w:t xml:space="preserve">Reducción progresiva del apoyo: en los meses previos a la salida, el técnico va reduciendo gradualmente la frecuencia de visitas y el apoyo en la gestión, fomentando que la persona gestione de forma creciente sus propios asuntos.</w:t>
      </w:r>
    </w:p>
    <w:p>
      <w:pPr>
        <w:pStyle w:val="ListParagraph"/>
        <w:numPr>
          <w:ilvl w:val="0"/>
          <w:numId w:val="3"/>
        </w:numPr>
        <w:spacing w:after="80" w:before="60" w:line="276"/>
      </w:pPr>
      <w:r>
        <w:rPr>
          <w:rFonts w:ascii="Arial" w:cs="Arial" w:eastAsia="Arial" w:hAnsi="Arial"/>
          <w:color w:val="000000"/>
          <w:sz w:val="22"/>
          <w:szCs w:val="22"/>
        </w:rPr>
        <w:t xml:space="preserve">Transferencia a recursos comunitarios: identificar y activar los apoyos comunitarios que van a sostener a la persona después de la salida: médico de cabecera, psiquiatra, grupos de apoyo mutuo, red familiar o de amigos, servicios sociales de zona.</w:t>
      </w:r>
    </w:p>
    <w:p>
      <w:pPr>
        <w:pStyle w:val="ListParagraph"/>
        <w:numPr>
          <w:ilvl w:val="0"/>
          <w:numId w:val="3"/>
        </w:numPr>
        <w:spacing w:after="80" w:before="60" w:line="276"/>
      </w:pPr>
      <w:r>
        <w:rPr>
          <w:rFonts w:ascii="Arial" w:cs="Arial" w:eastAsia="Arial" w:hAnsi="Arial"/>
          <w:color w:val="000000"/>
          <w:sz w:val="22"/>
          <w:szCs w:val="22"/>
        </w:rPr>
        <w:t xml:space="preserve">Seguimiento postcaso: mantener un contacto periódico (mensual o bimensual) durante los 6-12 meses siguientes a la salida para detectar señales de riesgo y poder intervenir antes de que se produzca una nueva crisis de alojamiento.</w:t>
      </w:r>
    </w:p>
    <w:p>
      <w:pPr>
        <w:pStyle w:val="Heading2"/>
        <w:spacing w:after="160" w:before="280"/>
      </w:pPr>
      <w:r>
        <w:rPr>
          <w:rFonts w:ascii="Arial" w:cs="Arial" w:eastAsia="Arial" w:hAnsi="Arial"/>
          <w:b/>
          <w:bCs/>
          <w:color w:val="1F4E79"/>
          <w:sz w:val="26"/>
          <w:szCs w:val="26"/>
        </w:rPr>
        <w:t xml:space="preserve">17.3. El Informe de Cierre</w:t>
      </w:r>
    </w:p>
    <w:p>
      <w:pPr>
        <w:spacing w:after="140" w:before="80" w:line="276"/>
        <w:jc w:val="both"/>
      </w:pPr>
      <w:r>
        <w:rPr>
          <w:rFonts w:ascii="Arial" w:cs="Arial" w:eastAsia="Arial" w:hAnsi="Arial"/>
          <w:b w:val="false"/>
          <w:bCs w:val="false"/>
          <w:i w:val="false"/>
          <w:iCs w:val="false"/>
          <w:color w:val="000000"/>
          <w:sz w:val="22"/>
          <w:szCs w:val="22"/>
        </w:rPr>
        <w:t xml:space="preserve">Al finalizar la participación de una persona en el programa, independientemente del tipo de salida, el técnico de referencia elabora un informe de cierre que documenta el proceso y los resultados de la intervención. Este informe tiene tres funciones: proporciona información valiosa para el seguimiento postcaso, contribuye a la evaluación del programa, y constituye la memoria documental de un proceso de trabajo que con frecuencia ha durado años.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INFORME DE CIERRE</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PLANTILLA GENÉRICA (ANONIMIZADA)</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DATOS DEL CASO</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Código del caso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Iniciales o código interno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Fecha de incorporación al programa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dd/mm/aaaa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Fecha de salida del programa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dd/mm/aaaa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Duración total de la participación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Nº de meses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Tipo de salida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Autónoma / Recurso alternativo / Fallecimiento / Voluntaria / Resolución arrendamiento</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SITUACIÓN AL INICIO DEL PROGRAMA</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Situación de alojamiento al acceso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Calle / Albergue de emergencia / Otro recurso de emergencia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Trayectoria de sinhogarismo al acceso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Años en situación de calle o emergencia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Principales áreas de necesidad al acceso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Resumen de las 3-5 principales necesidades identificadas en la acogida</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EVOLUCIÓN Y RESULTADOS</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Estabilidad residencial</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Nº de meses en vivienda estable / incidencias de alojamiento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Área de salud física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Cambios significativos respecto al inicio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Área de salud mental</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Cambios significativos respecto al inicio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Área de adicciones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Cambios significativos respecto al inicio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Área económica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Cambios significativos respecto al inicio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Área de relaciones sociales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Cambios significativos respecto al inicio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Área de integración comunitaria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Cambios significativos respecto al inicio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Área administrativa y jurídica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Cambios significativos respecto al inicio</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SITUACIÓN AL CIERRE</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Situación de alojamiento al cierre</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Descripción de la situación residencial en el momento de la salida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Ingresos y situación económica al cierre</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Prestaciones activas, ingresos mensuales aproximados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Red de apoyo al cierre</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Recursos comunitarios y personales activos en el momento de la salida</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VALORACIÓN PROFESIONAL</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Factores que han facilitado la recuperación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Análisis profesional de los elementos más protectores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Factores que han dificultado el proceso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Análisis de los obstáculos principales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Aprendizajes para el equipo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Qué se llevaría este técnico de este caso para mejorar futuros procesos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Recomendaciones para el seguimiento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Si procede: qué aspectos deben vigilarse en el postcaso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FIRMA DEL/LA TÉCNICO/A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Nombre y fecha: ___________</w:t>
            </w:r>
          </w:p>
        </w:tc>
      </w:tr>
    </w:tbl>
    <w:p>
      <w:pPr>
        <w:spacing w:after="120" w:before="120"/>
      </w:pPr>
      <w:r>
        <w:t xml:space="preserve"/>
      </w:r>
    </w:p>
    <w:p>
      <w:pPr>
        <w:pStyle w:val="Heading1"/>
        <w:pageBreakBefore/>
        <w:spacing w:after="240" w:before="0"/>
      </w:pPr>
      <w:r>
        <w:rPr>
          <w:rFonts w:ascii="Arial" w:cs="Arial" w:eastAsia="Arial" w:hAnsi="Arial"/>
          <w:b/>
          <w:bCs/>
          <w:color w:val="FFFFFF"/>
          <w:sz w:val="32"/>
          <w:szCs w:val="32"/>
        </w:rPr>
        <w:t xml:space="preserve">RESUMEN EJECUTIVO DE LA PARTE 4 Y ACTIVIDADES PRÁCTICAS</w:t>
      </w:r>
    </w:p>
    <w:p>
      <w:pPr>
        <w:pStyle w:val="Heading2"/>
        <w:spacing w:after="160" w:before="280"/>
      </w:pPr>
      <w:r>
        <w:rPr>
          <w:rFonts w:ascii="Arial" w:cs="Arial" w:eastAsia="Arial" w:hAnsi="Arial"/>
          <w:b/>
          <w:bCs/>
          <w:color w:val="1F4E79"/>
          <w:sz w:val="26"/>
          <w:szCs w:val="26"/>
        </w:rPr>
        <w:t xml:space="preserve">Resumen: Conceptos Clave de la Parte 4</w:t>
      </w:r>
    </w:p>
    <w:p>
      <w:pPr>
        <w:pStyle w:val="ListParagraph"/>
        <w:numPr>
          <w:ilvl w:val="0"/>
          <w:numId w:val="2"/>
        </w:numPr>
        <w:spacing w:after="80" w:before="60" w:line="276"/>
      </w:pPr>
      <w:r>
        <w:rPr>
          <w:rFonts w:ascii="Arial" w:cs="Arial" w:eastAsia="Arial" w:hAnsi="Arial"/>
          <w:color w:val="000000"/>
          <w:sz w:val="22"/>
          <w:szCs w:val="22"/>
        </w:rPr>
        <w:t xml:space="preserve">La intervención psicosocial en HF tiene tres fases: acogida (construir vínculo y cubrir necesidades inmediatas), intervención (trabajo en las 8 áreas del plan individualizado) y salida (transferencia progresiva a la autonomía y a los recursos comunitarios).</w:t>
      </w:r>
    </w:p>
    <w:p>
      <w:pPr>
        <w:pStyle w:val="ListParagraph"/>
        <w:numPr>
          <w:ilvl w:val="0"/>
          <w:numId w:val="2"/>
        </w:numPr>
        <w:spacing w:after="80" w:before="60" w:line="276"/>
      </w:pPr>
      <w:r>
        <w:rPr>
          <w:rFonts w:ascii="Arial" w:cs="Arial" w:eastAsia="Arial" w:hAnsi="Arial"/>
          <w:color w:val="000000"/>
          <w:sz w:val="22"/>
          <w:szCs w:val="22"/>
        </w:rPr>
        <w:t xml:space="preserve">La visita domiciliaria es el instrumento de intervención principal. Siempre con aviso previo, siempre con entrada respetuosa, siempre con registro posterior.</w:t>
      </w:r>
    </w:p>
    <w:p>
      <w:pPr>
        <w:pStyle w:val="ListParagraph"/>
        <w:numPr>
          <w:ilvl w:val="0"/>
          <w:numId w:val="2"/>
        </w:numPr>
        <w:spacing w:after="80" w:before="60" w:line="276"/>
      </w:pPr>
      <w:r>
        <w:rPr>
          <w:rFonts w:ascii="Arial" w:cs="Arial" w:eastAsia="Arial" w:hAnsi="Arial"/>
          <w:color w:val="000000"/>
          <w:sz w:val="22"/>
          <w:szCs w:val="22"/>
        </w:rPr>
        <w:t xml:space="preserve">El EUIC organiza la intervención en 8 áreas de vida: alojamiento, salud física, salud mental, adicciones, economía, relaciones sociales, integración comunitaria, y situación administrativa y jurídica.</w:t>
      </w:r>
    </w:p>
    <w:p>
      <w:pPr>
        <w:pStyle w:val="ListParagraph"/>
        <w:numPr>
          <w:ilvl w:val="0"/>
          <w:numId w:val="2"/>
        </w:numPr>
        <w:spacing w:after="80" w:before="60" w:line="276"/>
      </w:pPr>
      <w:r>
        <w:rPr>
          <w:rFonts w:ascii="Arial" w:cs="Arial" w:eastAsia="Arial" w:hAnsi="Arial"/>
          <w:color w:val="000000"/>
          <w:sz w:val="22"/>
          <w:szCs w:val="22"/>
        </w:rPr>
        <w:t xml:space="preserve">Los objetivos del plan de trabajo deben formularse en formato SMART: específicos, medibles, alcanzables, relevantes para la persona y con plazo definido.</w:t>
      </w:r>
    </w:p>
    <w:p>
      <w:pPr>
        <w:pStyle w:val="ListParagraph"/>
        <w:numPr>
          <w:ilvl w:val="0"/>
          <w:numId w:val="2"/>
        </w:numPr>
        <w:spacing w:after="80" w:before="60" w:line="276"/>
      </w:pPr>
      <w:r>
        <w:rPr>
          <w:rFonts w:ascii="Arial" w:cs="Arial" w:eastAsia="Arial" w:hAnsi="Arial"/>
          <w:color w:val="000000"/>
          <w:sz w:val="22"/>
          <w:szCs w:val="22"/>
        </w:rPr>
        <w:t xml:space="preserve">Las crisis son parte esperada del proceso, no fracasos. El protocolo de respuesta varía según el nivel de gravedad. La amenaza de pérdida de vivienda nunca es un instrumento de gestión de crisis.</w:t>
      </w:r>
    </w:p>
    <w:p>
      <w:pPr>
        <w:pStyle w:val="ListParagraph"/>
        <w:numPr>
          <w:ilvl w:val="0"/>
          <w:numId w:val="2"/>
        </w:numPr>
        <w:spacing w:after="80" w:before="60" w:line="276"/>
      </w:pPr>
      <w:r>
        <w:rPr>
          <w:rFonts w:ascii="Arial" w:cs="Arial" w:eastAsia="Arial" w:hAnsi="Arial"/>
          <w:color w:val="000000"/>
          <w:sz w:val="22"/>
          <w:szCs w:val="22"/>
        </w:rPr>
        <w:t xml:space="preserve">El plan de crisis individual, elaborado con la persona en un momento de estabilidad, es una herramienta de prevención y de empoderamiento que el equipo debe conocer y actualizar regularmente.</w:t>
      </w:r>
    </w:p>
    <w:p>
      <w:pPr>
        <w:pStyle w:val="ListParagraph"/>
        <w:numPr>
          <w:ilvl w:val="0"/>
          <w:numId w:val="2"/>
        </w:numPr>
        <w:spacing w:after="80" w:before="60" w:line="276"/>
      </w:pPr>
      <w:r>
        <w:rPr>
          <w:rFonts w:ascii="Arial" w:cs="Arial" w:eastAsia="Arial" w:hAnsi="Arial"/>
          <w:color w:val="000000"/>
          <w:sz w:val="22"/>
          <w:szCs w:val="22"/>
        </w:rPr>
        <w:t xml:space="preserve">La salida más deseable es la autónoma planificada, con un proceso de preparación de meses, reducción progresiva del apoyo y activación de recursos comunitarios. El seguimiento postcaso durante 6-12 meses reduce significativamente el riesgo de nueva inestabilidad.</w:t>
      </w:r>
    </w:p>
    <w:p>
      <w:pPr>
        <w:spacing w:after="120" w:before="120"/>
      </w:pPr>
      <w:r>
        <w:t xml:space="preserve"/>
      </w:r>
    </w:p>
    <w:p>
      <w:pPr>
        <w:pStyle w:val="Heading2"/>
        <w:spacing w:after="160" w:before="280"/>
      </w:pPr>
      <w:r>
        <w:rPr>
          <w:rFonts w:ascii="Arial" w:cs="Arial" w:eastAsia="Arial" w:hAnsi="Arial"/>
          <w:b/>
          <w:bCs/>
          <w:color w:val="1F4E79"/>
          <w:sz w:val="26"/>
          <w:szCs w:val="26"/>
        </w:rPr>
        <w:t xml:space="preserve">Actividades Prácticas — Parte 4</w:t>
      </w:r>
    </w:p>
    <w:p>
      <w:pPr>
        <w:pStyle w:val="Heading3"/>
        <w:spacing w:after="120" w:before="200"/>
      </w:pPr>
      <w:r>
        <w:rPr>
          <w:rFonts w:ascii="Arial" w:cs="Arial" w:eastAsia="Arial" w:hAnsi="Arial"/>
          <w:b/>
          <w:bCs/>
          <w:color w:val="2E75B6"/>
          <w:sz w:val="24"/>
          <w:szCs w:val="24"/>
        </w:rPr>
        <w:t xml:space="preserve">Actividad 4.1 — Elaboración de un Plan de Trabajo EUIC</w:t>
      </w:r>
    </w:p>
    <w:p>
      <w:pPr>
        <w:spacing w:after="140" w:before="80" w:line="276"/>
        <w:jc w:val="both"/>
      </w:pPr>
      <w:r>
        <w:rPr>
          <w:rFonts w:ascii="Arial" w:cs="Arial" w:eastAsia="Arial" w:hAnsi="Arial"/>
          <w:b w:val="false"/>
          <w:bCs w:val="false"/>
          <w:i w:val="false"/>
          <w:iCs w:val="false"/>
          <w:color w:val="000000"/>
          <w:sz w:val="22"/>
          <w:szCs w:val="22"/>
        </w:rPr>
        <w:t xml:space="preserve">A partir del siguiente perfil ficticio, elabore un Plan de Trabajo Individual completo usando la plantilla EUIC presentada en el módulo 15. Formule al menos un objetivo SMART por cada área, detallando los compromisos de la persona y los apoyos del equipo.</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6E4F0" w:val="clear"/>
            <w:tcMar>
              <w:top w:type="dxa" w:w="120"/>
              <w:left w:type="dxa" w:w="200"/>
              <w:bottom w:type="dxa" w:w="120"/>
              <w:right w:type="dxa" w:w="200"/>
            </w:tcMar>
          </w:tcPr>
          <w:p>
            <w:pPr>
              <w:spacing w:after="80" w:before="0"/>
            </w:pPr>
            <w:r>
              <w:rPr>
                <w:rFonts w:ascii="Arial" w:cs="Arial" w:eastAsia="Arial" w:hAnsi="Arial"/>
                <w:b/>
                <w:bCs/>
                <w:color w:val="1F4E79"/>
                <w:sz w:val="22"/>
                <w:szCs w:val="22"/>
              </w:rPr>
              <w:t xml:space="preserve">PERFIL FICTICIO PARA LA ACTIVIDAD</w:t>
            </w:r>
          </w:p>
          <w:p>
            <w:pPr>
              <w:spacing w:after="60" w:before="40" w:line="276"/>
              <w:jc w:val="both"/>
            </w:pPr>
            <w:r>
              <w:rPr>
                <w:rFonts w:ascii="Arial" w:cs="Arial" w:eastAsia="Arial" w:hAnsi="Arial"/>
                <w:color w:val="000000"/>
                <w:sz w:val="21"/>
                <w:szCs w:val="21"/>
              </w:rPr>
              <w:t xml:space="preserve">Caso F.M.V. Mujer de 46 años. Lleva 7 meses en la vivienda del programa, tras 6 años alternando calle y albergues. Diagnóstico de trastorno bipolar tipo I, actualmente en seguimiento psiquiátrico bimensual con adherencia al tratamiento irregular. Consumo de alcohol a diario, aproximadamente 1 litro de vino al día. Sin ingresos propios en el momento de acceso al programa; actualmente tramitando la Renta Mínima de Inserción.</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Tiene dos hijos adultos con los que no tiene contacto desde hace 4 años. Expresa deseo de recuperar la relación con su hija mayor. No tiene actividades de ocio estructuradas. Empadronada en el domicilio del programa desde el mes 1. Documentación en regla. En el mes 3 tuvo una crisis de agitación que requirió visita a urgencias; desde entonces el equipo ha trabajado el plan de crisis con ella.</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Sus propias metas declaradas: 'Quiero no beber tanto, poder llamar a mi hija y no tener que volver a dormir en la calle nunca más.'</w:t>
            </w:r>
          </w:p>
        </w:tc>
      </w:tr>
    </w:tbl>
    <w:p>
      <w:pPr>
        <w:spacing w:after="120" w:before="120"/>
      </w:pPr>
      <w:r>
        <w:t xml:space="preserve"/>
      </w:r>
    </w:p>
    <w:p>
      <w:pPr>
        <w:pStyle w:val="Heading3"/>
        <w:spacing w:after="120" w:before="200"/>
      </w:pPr>
      <w:r>
        <w:rPr>
          <w:rFonts w:ascii="Arial" w:cs="Arial" w:eastAsia="Arial" w:hAnsi="Arial"/>
          <w:b/>
          <w:bCs/>
          <w:color w:val="2E75B6"/>
          <w:sz w:val="24"/>
          <w:szCs w:val="24"/>
        </w:rPr>
        <w:t xml:space="preserve">Actividad 4.2 — Simulación de Visita Domiciliaria</w:t>
      </w:r>
    </w:p>
    <w:p>
      <w:pPr>
        <w:spacing w:after="140" w:before="80" w:line="276"/>
        <w:jc w:val="both"/>
      </w:pPr>
      <w:r>
        <w:rPr>
          <w:rFonts w:ascii="Arial" w:cs="Arial" w:eastAsia="Arial" w:hAnsi="Arial"/>
          <w:b w:val="false"/>
          <w:bCs w:val="false"/>
          <w:i w:val="false"/>
          <w:iCs w:val="false"/>
          <w:color w:val="000000"/>
          <w:sz w:val="22"/>
          <w:szCs w:val="22"/>
        </w:rPr>
        <w:t xml:space="preserve">En parejas o grupos de tres, realice un juego de rol simulando una visita domiciliaria en la que el técnico llega al domicilio y encuentra las siguientes situaciones (elija una):</w:t>
      </w:r>
    </w:p>
    <w:p>
      <w:pPr>
        <w:pStyle w:val="ListParagraph"/>
        <w:numPr>
          <w:ilvl w:val="0"/>
          <w:numId w:val="2"/>
        </w:numPr>
        <w:spacing w:after="80" w:before="60" w:line="276"/>
      </w:pPr>
      <w:r>
        <w:rPr>
          <w:rFonts w:ascii="Arial" w:cs="Arial" w:eastAsia="Arial" w:hAnsi="Arial"/>
          <w:color w:val="000000"/>
          <w:sz w:val="22"/>
          <w:szCs w:val="22"/>
        </w:rPr>
        <w:t xml:space="preserve">Opción A: La persona está visiblemente bajo los efectos del alcohol, el domicilio huele a cerrado y hay un montón de ropa sin lavar en el suelo. La persona dice que está bien y que no quiere hablar de nada.</w:t>
      </w:r>
    </w:p>
    <w:p>
      <w:pPr>
        <w:pStyle w:val="ListParagraph"/>
        <w:numPr>
          <w:ilvl w:val="0"/>
          <w:numId w:val="2"/>
        </w:numPr>
        <w:spacing w:after="80" w:before="60" w:line="276"/>
      </w:pPr>
      <w:r>
        <w:rPr>
          <w:rFonts w:ascii="Arial" w:cs="Arial" w:eastAsia="Arial" w:hAnsi="Arial"/>
          <w:color w:val="000000"/>
          <w:sz w:val="22"/>
          <w:szCs w:val="22"/>
        </w:rPr>
        <w:t xml:space="preserve">Opción B: La persona abre la puerta con cara de preocupación y le dice que el vecino de arriba volvió a aporrear el techo ayer noche y que tiene miedo de que le echen. Está angustiada y dice que no puede dormir.</w:t>
      </w:r>
    </w:p>
    <w:p>
      <w:pPr>
        <w:pStyle w:val="ListParagraph"/>
        <w:numPr>
          <w:ilvl w:val="0"/>
          <w:numId w:val="2"/>
        </w:numPr>
        <w:spacing w:after="80" w:before="60" w:line="276"/>
      </w:pPr>
      <w:r>
        <w:rPr>
          <w:rFonts w:ascii="Arial" w:cs="Arial" w:eastAsia="Arial" w:hAnsi="Arial"/>
          <w:color w:val="000000"/>
          <w:sz w:val="22"/>
          <w:szCs w:val="22"/>
        </w:rPr>
        <w:t xml:space="preserve">Opción C: La persona está animada y le cuenta que ha estado pensando en llamar a su hijo, pero que no sabe cómo empezar. Le pregunta al técnico qué haría en su lugar.</w:t>
      </w:r>
    </w:p>
    <w:p>
      <w:pPr>
        <w:spacing w:after="140" w:before="80" w:line="276"/>
        <w:jc w:val="both"/>
      </w:pPr>
      <w:r>
        <w:rPr>
          <w:rFonts w:ascii="Arial" w:cs="Arial" w:eastAsia="Arial" w:hAnsi="Arial"/>
          <w:b w:val="false"/>
          <w:bCs w:val="false"/>
          <w:i w:val="false"/>
          <w:iCs w:val="false"/>
          <w:color w:val="000000"/>
          <w:sz w:val="22"/>
          <w:szCs w:val="22"/>
        </w:rPr>
        <w:t xml:space="preserve">Analice después del rol: ¿Qué principios HF se pusieron en juego? ¿Qué aspectos de la entrevista motivacional se aplicaron o se podrían haber aplicado mejor? ¿Qué se registraría en el expediente?</w:t>
      </w:r>
    </w:p>
    <w:p>
      <w:pPr>
        <w:pStyle w:val="Heading3"/>
        <w:spacing w:after="120" w:before="200"/>
      </w:pPr>
      <w:r>
        <w:rPr>
          <w:rFonts w:ascii="Arial" w:cs="Arial" w:eastAsia="Arial" w:hAnsi="Arial"/>
          <w:b/>
          <w:bCs/>
          <w:color w:val="2E75B6"/>
          <w:sz w:val="24"/>
          <w:szCs w:val="24"/>
        </w:rPr>
        <w:t xml:space="preserve">Actividad 4.3 — Diseño de un Plan de Crisis</w:t>
      </w:r>
    </w:p>
    <w:p>
      <w:pPr>
        <w:spacing w:after="140" w:before="80" w:line="276"/>
        <w:jc w:val="both"/>
      </w:pPr>
      <w:r>
        <w:rPr>
          <w:rFonts w:ascii="Arial" w:cs="Arial" w:eastAsia="Arial" w:hAnsi="Arial"/>
          <w:b w:val="false"/>
          <w:bCs w:val="false"/>
          <w:i w:val="false"/>
          <w:iCs w:val="false"/>
          <w:color w:val="000000"/>
          <w:sz w:val="22"/>
          <w:szCs w:val="22"/>
        </w:rPr>
        <w:t xml:space="preserve">Usando la plantilla del módulo 16, diseñe un Plan de Crisis Individual para el caso F.M.V. de la Actividad 4.1, incorporando las señales de alarma que podría tener esta persona según su perfil, las estrategias de afrontamiento más probablemente útiles, y los acuerdos con el equipo que sería razonable establecer.</w:t>
      </w:r>
    </w:p>
    <w:p>
      <w:pPr>
        <w:pStyle w:val="Heading3"/>
        <w:spacing w:after="120" w:before="200"/>
      </w:pPr>
      <w:r>
        <w:rPr>
          <w:rFonts w:ascii="Arial" w:cs="Arial" w:eastAsia="Arial" w:hAnsi="Arial"/>
          <w:b/>
          <w:bCs/>
          <w:color w:val="2E75B6"/>
          <w:sz w:val="24"/>
          <w:szCs w:val="24"/>
        </w:rPr>
        <w:t xml:space="preserve">Actividad 4.4 — Reflexión sobre la Salida del Programa</w:t>
      </w:r>
    </w:p>
    <w:p>
      <w:pPr>
        <w:spacing w:after="140" w:before="80" w:line="276"/>
        <w:jc w:val="both"/>
      </w:pPr>
      <w:r>
        <w:rPr>
          <w:rFonts w:ascii="Arial" w:cs="Arial" w:eastAsia="Arial" w:hAnsi="Arial"/>
          <w:b w:val="false"/>
          <w:bCs w:val="false"/>
          <w:i w:val="false"/>
          <w:iCs w:val="false"/>
          <w:color w:val="000000"/>
          <w:sz w:val="22"/>
          <w:szCs w:val="22"/>
        </w:rPr>
        <w:t xml:space="preserve">Responda a las siguientes preguntas de reflexión, de 2 a 3 párrafos cada una:</w:t>
      </w:r>
    </w:p>
    <w:p>
      <w:pPr>
        <w:pStyle w:val="ListParagraph"/>
        <w:numPr>
          <w:ilvl w:val="0"/>
          <w:numId w:val="2"/>
        </w:numPr>
        <w:spacing w:after="80" w:before="60" w:line="276"/>
      </w:pPr>
      <w:r>
        <w:rPr>
          <w:rFonts w:ascii="Arial" w:cs="Arial" w:eastAsia="Arial" w:hAnsi="Arial"/>
          <w:color w:val="000000"/>
          <w:sz w:val="22"/>
          <w:szCs w:val="22"/>
        </w:rPr>
        <w:t xml:space="preserve">¿Qué criterios usaría para valorar si una persona está preparada para una salida autónoma? ¿Quién decide — la persona, el equipo, el financiador?</w:t>
      </w:r>
    </w:p>
    <w:p>
      <w:pPr>
        <w:pStyle w:val="ListParagraph"/>
        <w:numPr>
          <w:ilvl w:val="0"/>
          <w:numId w:val="2"/>
        </w:numPr>
        <w:spacing w:after="80" w:before="60" w:line="276"/>
      </w:pPr>
      <w:r>
        <w:rPr>
          <w:rFonts w:ascii="Arial" w:cs="Arial" w:eastAsia="Arial" w:hAnsi="Arial"/>
          <w:color w:val="000000"/>
          <w:sz w:val="22"/>
          <w:szCs w:val="22"/>
        </w:rPr>
        <w:t xml:space="preserve">¿Cómo gestionaría emocionalmente la salida de una persona con la que ha trabajado durante 3 años y con la que ha construido una relación de gran confianza?</w:t>
      </w:r>
    </w:p>
    <w:p>
      <w:pPr>
        <w:pStyle w:val="ListParagraph"/>
        <w:numPr>
          <w:ilvl w:val="0"/>
          <w:numId w:val="2"/>
        </w:numPr>
        <w:spacing w:after="80" w:before="60" w:line="276"/>
      </w:pPr>
      <w:r>
        <w:rPr>
          <w:rFonts w:ascii="Arial" w:cs="Arial" w:eastAsia="Arial" w:hAnsi="Arial"/>
          <w:color w:val="000000"/>
          <w:sz w:val="22"/>
          <w:szCs w:val="22"/>
        </w:rPr>
        <w:t xml:space="preserve">¿Qué recursos comunitarios del municipio de Madrid o de su municipio de referencia activaría en el proceso de salida de una persona con diagnóstico de trastorno mental grave?</w:t>
      </w:r>
    </w:p>
    <w:p>
      <w:pPr>
        <w:spacing w:after="120" w:before="120"/>
      </w:pPr>
      <w:r>
        <w:t xml:space="preserve"/>
      </w:r>
    </w:p>
    <w:p>
      <w:pPr>
        <w:pStyle w:val="Heading2"/>
        <w:spacing w:after="160" w:before="280"/>
      </w:pPr>
      <w:r>
        <w:rPr>
          <w:rFonts w:ascii="Arial" w:cs="Arial" w:eastAsia="Arial" w:hAnsi="Arial"/>
          <w:b/>
          <w:bCs/>
          <w:color w:val="1F4E79"/>
          <w:sz w:val="26"/>
          <w:szCs w:val="26"/>
        </w:rPr>
        <w:t xml:space="preserve">Bibliografía Complementaria — Parte 4</w:t>
      </w:r>
    </w:p>
    <w:p>
      <w:pPr>
        <w:pStyle w:val="ListParagraph"/>
        <w:numPr>
          <w:ilvl w:val="0"/>
          <w:numId w:val="2"/>
        </w:numPr>
        <w:spacing w:after="80" w:before="60" w:line="276"/>
      </w:pPr>
      <w:r>
        <w:rPr>
          <w:rFonts w:ascii="Arial" w:cs="Arial" w:eastAsia="Arial" w:hAnsi="Arial"/>
          <w:color w:val="000000"/>
          <w:sz w:val="22"/>
          <w:szCs w:val="22"/>
        </w:rPr>
        <w:t xml:space="preserve">Vanderplasschen, W. et al. (2013). Therapeutic Communities for Addictions: A Review. Scientific World Journal.</w:t>
      </w:r>
    </w:p>
    <w:p>
      <w:pPr>
        <w:pStyle w:val="ListParagraph"/>
        <w:numPr>
          <w:ilvl w:val="0"/>
          <w:numId w:val="2"/>
        </w:numPr>
        <w:spacing w:after="80" w:before="60" w:line="276"/>
      </w:pPr>
      <w:r>
        <w:rPr>
          <w:rFonts w:ascii="Arial" w:cs="Arial" w:eastAsia="Arial" w:hAnsi="Arial"/>
          <w:color w:val="000000"/>
          <w:sz w:val="22"/>
          <w:szCs w:val="22"/>
        </w:rPr>
        <w:t xml:space="preserve">Anthony, W. A. (1993). Recovery from Mental Illness: The Guiding Vision. Psychosocial Rehabilitation Journal.</w:t>
      </w:r>
    </w:p>
    <w:p>
      <w:pPr>
        <w:pStyle w:val="ListParagraph"/>
        <w:numPr>
          <w:ilvl w:val="0"/>
          <w:numId w:val="2"/>
        </w:numPr>
        <w:spacing w:after="80" w:before="60" w:line="276"/>
      </w:pPr>
      <w:r>
        <w:rPr>
          <w:rFonts w:ascii="Arial" w:cs="Arial" w:eastAsia="Arial" w:hAnsi="Arial"/>
          <w:color w:val="000000"/>
          <w:sz w:val="22"/>
          <w:szCs w:val="22"/>
        </w:rPr>
        <w:t xml:space="preserve">Tsemberis, S. (2010). Housing First: The Pathways Model. Hazelden.</w:t>
      </w:r>
    </w:p>
    <w:p>
      <w:pPr>
        <w:pStyle w:val="ListParagraph"/>
        <w:numPr>
          <w:ilvl w:val="0"/>
          <w:numId w:val="2"/>
        </w:numPr>
        <w:spacing w:after="80" w:before="60" w:line="276"/>
      </w:pPr>
      <w:r>
        <w:rPr>
          <w:rFonts w:ascii="Arial" w:cs="Arial" w:eastAsia="Arial" w:hAnsi="Arial"/>
          <w:color w:val="000000"/>
          <w:sz w:val="22"/>
          <w:szCs w:val="22"/>
        </w:rPr>
        <w:t xml:space="preserve">SAMHSA (2014). SAMHSA's Concept of Trauma and Guidance for a Trauma-Informed Approach. US Dept. of Health.</w:t>
      </w:r>
    </w:p>
    <w:p>
      <w:pPr>
        <w:pStyle w:val="ListParagraph"/>
        <w:numPr>
          <w:ilvl w:val="0"/>
          <w:numId w:val="2"/>
        </w:numPr>
        <w:spacing w:after="80" w:before="60" w:line="276"/>
      </w:pPr>
      <w:r>
        <w:rPr>
          <w:rFonts w:ascii="Arial" w:cs="Arial" w:eastAsia="Arial" w:hAnsi="Arial"/>
          <w:color w:val="000000"/>
          <w:sz w:val="22"/>
          <w:szCs w:val="22"/>
        </w:rPr>
        <w:t xml:space="preserve">Ministerio de Sanidad (2022). Plan de Acción de Salud Mental 2022-2024. Estrategia de Salud Mental del SNS.</w:t>
      </w:r>
    </w:p>
    <w:p>
      <w:pPr>
        <w:pStyle w:val="ListParagraph"/>
        <w:numPr>
          <w:ilvl w:val="0"/>
          <w:numId w:val="2"/>
        </w:numPr>
        <w:spacing w:after="80" w:before="60" w:line="276"/>
      </w:pPr>
      <w:r>
        <w:rPr>
          <w:rFonts w:ascii="Arial" w:cs="Arial" w:eastAsia="Arial" w:hAnsi="Arial"/>
          <w:color w:val="000000"/>
          <w:sz w:val="22"/>
          <w:szCs w:val="22"/>
        </w:rPr>
        <w:t xml:space="preserve">Asociación Española de Neuropsiquiatría (2021). Guía de Práctica Clínica sobre el Trastorno Bipolar. AEN.</w:t>
      </w:r>
    </w:p>
    <w:p>
      <w:pPr>
        <w:pStyle w:val="ListParagraph"/>
        <w:numPr>
          <w:ilvl w:val="0"/>
          <w:numId w:val="2"/>
        </w:numPr>
        <w:spacing w:after="80" w:before="60" w:line="276"/>
      </w:pPr>
      <w:r>
        <w:rPr>
          <w:rFonts w:ascii="Arial" w:cs="Arial" w:eastAsia="Arial" w:hAnsi="Arial"/>
          <w:color w:val="000000"/>
          <w:sz w:val="22"/>
          <w:szCs w:val="22"/>
        </w:rPr>
        <w:t xml:space="preserve">Collins, S. E. et al. (2012). Project-Based Housing First for Chronically Homeless Individuals. AJPH.</w:t>
      </w:r>
    </w:p>
    <w:p>
      <w:pPr>
        <w:spacing w:after="120" w:before="120"/>
      </w:pPr>
      <w:r>
        <w:t xml:space="preserve"/>
      </w:r>
    </w:p>
    <w:p>
      <w:r>
        <w:br w:type="page"/>
      </w:r>
    </w:p>
    <w:p>
      <w:pPr>
        <w:spacing w:after="100" w:before="400"/>
        <w:jc w:val="center"/>
      </w:pPr>
      <w:r>
        <w:rPr>
          <w:rFonts w:ascii="Arial" w:cs="Arial" w:eastAsia="Arial" w:hAnsi="Arial"/>
          <w:b/>
          <w:bCs/>
          <w:i/>
          <w:iCs/>
          <w:color w:val="2E75B6"/>
          <w:sz w:val="22"/>
          <w:szCs w:val="22"/>
        </w:rPr>
        <w:t xml:space="preserve">— Fin de la Parte 4 —</w:t>
      </w:r>
    </w:p>
    <w:p>
      <w:pPr>
        <w:spacing w:after="200" w:before="100"/>
        <w:jc w:val="center"/>
      </w:pPr>
      <w:r>
        <w:rPr>
          <w:rFonts w:ascii="Arial" w:cs="Arial" w:eastAsia="Arial" w:hAnsi="Arial"/>
          <w:i/>
          <w:iCs/>
          <w:color w:val="666666"/>
          <w:sz w:val="22"/>
          <w:szCs w:val="22"/>
        </w:rPr>
        <w:t xml:space="preserve">Continúa en la Parte 5: Evaluación, Coordinación y Marco Ético-Legal</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6E4F0" w:sz="2" w:space="1"/>
      </w:pBdr>
      <w:jc w:val="center"/>
    </w:pPr>
    <w:r>
      <w:rPr>
        <w:rFonts w:ascii="Arial" w:cs="Arial" w:eastAsia="Arial" w:hAnsi="Arial"/>
        <w:color w:val="888888"/>
        <w:sz w:val="18"/>
        <w:szCs w:val="18"/>
      </w:rPr>
      <w:t xml:space="preserve">Página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de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1"/>
      </w:pBdr>
    </w:pPr>
    <w:r>
      <w:rPr>
        <w:rFonts w:ascii="Arial" w:cs="Arial" w:eastAsia="Arial" w:hAnsi="Arial"/>
        <w:color w:val="1F4E79"/>
        <w:sz w:val="18"/>
        <w:szCs w:val="18"/>
      </w:rPr>
      <w:t xml:space="preserve">CURSO DE ESPECIALIZACIÓN: METODOLOGÍA HOUSING FIRST · PARTE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80" w:before="60"/>
        <w:ind w:left="540" w:hanging="280"/>
      </w:pPr>
      <w:rPr>
        <w:rFonts w:ascii="Arial" w:cs="Arial" w:eastAsia="Arial" w:hAnsi="Arial"/>
        <w:sz w:val="22"/>
        <w:szCs w:val="22"/>
      </w:rPr>
    </w:lvl>
  </w:abstractNum>
  <w:abstractNum w:abstractNumId="3" w15:restartNumberingAfterBreak="0">
    <w:multiLevelType w:val="hybridMultilevel"/>
    <w:lvl w:ilvl="0" w15:tentative="1">
      <w:start w:val="1"/>
      <w:numFmt w:val="decimal"/>
      <w:lvlText w:val="%1."/>
      <w:lvlJc w:val="left"/>
      <w:pPr>
        <w:spacing w:after="80" w:before="60"/>
        <w:ind w:left="540" w:hanging="280"/>
      </w:pPr>
      <w:rPr>
        <w:rFonts w:ascii="Arial" w:cs="Arial" w:eastAsia="Arial" w:hAnsi="Arial"/>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hd w:fill="1F4E79" w:val="clear"/>
      <w:spacing w:after="240" w:before="0"/>
      <w:ind w:left="360" w:right="360"/>
      <w:outlineLvl w:val="0"/>
    </w:pPr>
    <w:rPr>
      <w:rFonts w:ascii="Arial" w:cs="Arial" w:eastAsia="Arial" w:hAnsi="Arial"/>
      <w:b/>
      <w:bCs/>
      <w:color w:val="FFFFFF"/>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1F4E79"/>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2026-03-06T13:10:57.956Z</dcterms:created>
  <dcterms:modified xsi:type="dcterms:W3CDTF">2026-03-06T13:10:57.956Z</dcterms:modified>
</cp:coreProperties>
</file>

<file path=docProps/custom.xml><?xml version="1.0" encoding="utf-8"?>
<Properties xmlns="http://schemas.openxmlformats.org/officeDocument/2006/custom-properties" xmlns:vt="http://schemas.openxmlformats.org/officeDocument/2006/docPropsVTypes"/>
</file>