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2000"/>
        <w:jc w:val="center"/>
      </w:pPr>
      <w:r>
        <w:rPr>
          <w:rFonts w:ascii="Calibri" w:cs="Calibri" w:eastAsia="Calibri" w:hAnsi="Calibri"/>
          <w:b/>
          <w:bCs/>
          <w:color w:val="1F4E79"/>
          <w:sz w:val="64"/>
          <w:szCs w:val="64"/>
        </w:rPr>
        <w:t xml:space="preserve">HOUSING FIRST</w:t>
      </w:r>
    </w:p>
    <w:p>
      <w:pPr>
        <w:spacing w:after="200" w:before="200"/>
        <w:jc w:val="center"/>
      </w:pPr>
      <w:r>
        <w:rPr>
          <w:rFonts w:ascii="Calibri" w:cs="Calibri" w:eastAsia="Calibri" w:hAnsi="Calibri"/>
          <w:color w:val="2E75B6"/>
          <w:sz w:val="36"/>
          <w:szCs w:val="36"/>
        </w:rPr>
        <w:t xml:space="preserve">Metodología y Práctica Profesional</w:t>
      </w:r>
    </w:p>
    <w:p>
      <w:pPr>
        <w:spacing w:after="200" w:before="600"/>
        <w:jc w:val="center"/>
      </w:pPr>
      <w:r>
        <w:rPr>
          <w:rFonts w:ascii="Calibri" w:cs="Calibri" w:eastAsia="Calibri" w:hAnsi="Calibri"/>
          <w:b/>
          <w:bCs/>
          <w:color w:val="1F4E79"/>
          <w:sz w:val="48"/>
          <w:szCs w:val="48"/>
        </w:rPr>
        <w:t xml:space="preserve">PARTE 5</w:t>
      </w:r>
    </w:p>
    <w:p>
      <w:pPr>
        <w:spacing w:after="1200" w:before="200"/>
        <w:jc w:val="center"/>
      </w:pPr>
      <w:r>
        <w:rPr>
          <w:rFonts w:ascii="Calibri" w:cs="Calibri" w:eastAsia="Calibri" w:hAnsi="Calibri"/>
          <w:b/>
          <w:bCs/>
          <w:color w:val="2E75B6"/>
          <w:sz w:val="32"/>
          <w:szCs w:val="32"/>
        </w:rPr>
        <w:t xml:space="preserve">Evaluación, Coordinación y Marco Ético-Legal</w:t>
      </w:r>
    </w:p>
    <w:p>
      <w:pPr>
        <w:spacing w:after="200" w:before="400"/>
        <w:jc w:val="center"/>
      </w:pPr>
      <w:r>
        <w:rPr>
          <w:rFonts w:ascii="Calibri" w:cs="Calibri" w:eastAsia="Calibri" w:hAnsi="Calibri"/>
          <w:color w:val="555555"/>
          <w:sz w:val="26"/>
          <w:szCs w:val="26"/>
        </w:rPr>
        <w:t xml:space="preserve">Módulos 18 a 22</w:t>
      </w:r>
    </w:p>
    <w:p>
      <w:pPr>
        <w:spacing w:after="200" w:before="200"/>
        <w:jc w:val="center"/>
      </w:pPr>
      <w:r>
        <w:rPr>
          <w:rFonts w:ascii="Calibri" w:cs="Calibri" w:eastAsia="Calibri" w:hAnsi="Calibri"/>
          <w:color w:val="555555"/>
          <w:sz w:val="22"/>
          <w:szCs w:val="22"/>
        </w:rPr>
        <w:t xml:space="preserve">Basado en experiencia directa de coordinación de programas Housing First</w:t>
      </w:r>
    </w:p>
    <w:p>
      <w:pPr>
        <w:pStyle w:val="Heading1"/>
        <w:pageBreakBefore/>
        <w:shd w:fill="1F4E79" w:val="clear"/>
        <w:spacing w:after="200" w:before="240"/>
      </w:pPr>
      <w:r>
        <w:rPr>
          <w:rFonts w:ascii="Calibri" w:cs="Calibri" w:eastAsia="Calibri" w:hAnsi="Calibri"/>
          <w:b/>
          <w:bCs/>
          <w:color w:val="FFFFFF"/>
          <w:sz w:val="32"/>
          <w:szCs w:val="32"/>
        </w:rPr>
        <w:t xml:space="preserve">ÍNDICE DE CONTENIDOS</w:t>
      </w:r>
    </w:p>
    <w:p>
      <w:pPr>
        <w:spacing w:after="100" w:before="100"/>
        <w:jc w:val="both"/>
      </w:pPr>
      <w:r>
        <w:rPr>
          <w:rFonts w:ascii="Calibri" w:cs="Calibri" w:eastAsia="Calibri" w:hAnsi="Calibri"/>
          <w:b/>
          <w:bCs/>
          <w:i w:val="false"/>
          <w:iCs w:val="false"/>
          <w:color w:val="000000"/>
          <w:sz w:val="22"/>
          <w:szCs w:val="22"/>
        </w:rPr>
        <w:t xml:space="preserve">Módulo 18: Evaluación y Seguimiento del Programa</w:t>
      </w:r>
    </w:p>
    <w:p>
      <w:pPr>
        <w:spacing w:after="100" w:before="100"/>
        <w:jc w:val="both"/>
      </w:pPr>
      <w:r>
        <w:rPr>
          <w:rFonts w:ascii="Calibri" w:cs="Calibri" w:eastAsia="Calibri" w:hAnsi="Calibri"/>
          <w:b w:val="false"/>
          <w:bCs w:val="false"/>
          <w:i w:val="false"/>
          <w:iCs w:val="false"/>
          <w:color w:val="000000"/>
          <w:sz w:val="22"/>
          <w:szCs w:val="22"/>
        </w:rPr>
        <w:t xml:space="preserve">  18.1  El sistema de evaluación en Housing First</w:t>
      </w:r>
    </w:p>
    <w:p>
      <w:pPr>
        <w:spacing w:after="100" w:before="100"/>
        <w:jc w:val="both"/>
      </w:pPr>
      <w:r>
        <w:rPr>
          <w:rFonts w:ascii="Calibri" w:cs="Calibri" w:eastAsia="Calibri" w:hAnsi="Calibri"/>
          <w:b w:val="false"/>
          <w:bCs w:val="false"/>
          <w:i w:val="false"/>
          <w:iCs w:val="false"/>
          <w:color w:val="000000"/>
          <w:sz w:val="22"/>
          <w:szCs w:val="22"/>
        </w:rPr>
        <w:t xml:space="preserve">  18.2  Indicadores de resultado y proceso</w:t>
      </w:r>
    </w:p>
    <w:p>
      <w:pPr>
        <w:spacing w:after="100" w:before="100"/>
        <w:jc w:val="both"/>
      </w:pPr>
      <w:r>
        <w:rPr>
          <w:rFonts w:ascii="Calibri" w:cs="Calibri" w:eastAsia="Calibri" w:hAnsi="Calibri"/>
          <w:b w:val="false"/>
          <w:bCs w:val="false"/>
          <w:i w:val="false"/>
          <w:iCs w:val="false"/>
          <w:color w:val="000000"/>
          <w:sz w:val="22"/>
          <w:szCs w:val="22"/>
        </w:rPr>
        <w:t xml:space="preserve">  18.3  Herramientas de recogida de datos</w:t>
      </w:r>
    </w:p>
    <w:p>
      <w:pPr>
        <w:spacing w:after="100" w:before="100"/>
        <w:jc w:val="both"/>
      </w:pPr>
      <w:r>
        <w:rPr>
          <w:rFonts w:ascii="Calibri" w:cs="Calibri" w:eastAsia="Calibri" w:hAnsi="Calibri"/>
          <w:b w:val="false"/>
          <w:bCs w:val="false"/>
          <w:i w:val="false"/>
          <w:iCs w:val="false"/>
          <w:color w:val="000000"/>
          <w:sz w:val="22"/>
          <w:szCs w:val="22"/>
        </w:rPr>
        <w:t xml:space="preserve">  18.4  Análisis de datos y elaboración de informes</w:t>
      </w:r>
    </w:p>
    <w:p>
      <w:pPr>
        <w:spacing w:after="100" w:before="100"/>
        <w:jc w:val="both"/>
      </w:pPr>
      <w:r>
        <w:rPr>
          <w:rFonts w:ascii="Calibri" w:cs="Calibri" w:eastAsia="Calibri" w:hAnsi="Calibri"/>
          <w:b w:val="false"/>
          <w:bCs w:val="false"/>
          <w:i w:val="false"/>
          <w:iCs w:val="false"/>
          <w:color w:val="000000"/>
          <w:sz w:val="22"/>
          <w:szCs w:val="22"/>
        </w:rPr>
        <w:t xml:space="preserve">  18.5  Modelo de informe de seguimiento individual</w:t>
      </w:r>
    </w:p>
    <w:p>
      <w:pPr>
        <w:spacing w:after="100" w:before="100"/>
        <w:jc w:val="both"/>
      </w:pPr>
      <w:r>
        <w:rPr>
          <w:rFonts w:ascii="Calibri" w:cs="Calibri" w:eastAsia="Calibri" w:hAnsi="Calibri"/>
          <w:b w:val="false"/>
          <w:bCs w:val="false"/>
          <w:i w:val="false"/>
          <w:iCs w:val="false"/>
          <w:color w:val="000000"/>
          <w:sz w:val="22"/>
          <w:szCs w:val="22"/>
        </w:rPr>
        <w:t xml:space="preserve">  18.6  Plantilla de sistema de indicadores del programa</w:t>
      </w:r>
    </w:p>
    <w:p>
      <w:pPr>
        <w:spacing w:after="120" w:before="120"/>
      </w:pPr>
      <w:r>
        <w:t xml:space="preserve"/>
      </w:r>
    </w:p>
    <w:p>
      <w:pPr>
        <w:spacing w:after="100" w:before="100"/>
        <w:jc w:val="both"/>
      </w:pPr>
      <w:r>
        <w:rPr>
          <w:rFonts w:ascii="Calibri" w:cs="Calibri" w:eastAsia="Calibri" w:hAnsi="Calibri"/>
          <w:b/>
          <w:bCs/>
          <w:i w:val="false"/>
          <w:iCs w:val="false"/>
          <w:color w:val="000000"/>
          <w:sz w:val="22"/>
          <w:szCs w:val="22"/>
        </w:rPr>
        <w:t xml:space="preserve">Módulo 19: Coordinación Interinstitucional y Trabajo en Red</w:t>
      </w:r>
    </w:p>
    <w:p>
      <w:pPr>
        <w:spacing w:after="100" w:before="100"/>
        <w:jc w:val="both"/>
      </w:pPr>
      <w:r>
        <w:rPr>
          <w:rFonts w:ascii="Calibri" w:cs="Calibri" w:eastAsia="Calibri" w:hAnsi="Calibri"/>
          <w:b w:val="false"/>
          <w:bCs w:val="false"/>
          <w:i w:val="false"/>
          <w:iCs w:val="false"/>
          <w:color w:val="000000"/>
          <w:sz w:val="22"/>
          <w:szCs w:val="22"/>
        </w:rPr>
        <w:t xml:space="preserve">  19.1  El ecosistema de recursos en la intervención con personas sin hogar</w:t>
      </w:r>
    </w:p>
    <w:p>
      <w:pPr>
        <w:spacing w:after="100" w:before="100"/>
        <w:jc w:val="both"/>
      </w:pPr>
      <w:r>
        <w:rPr>
          <w:rFonts w:ascii="Calibri" w:cs="Calibri" w:eastAsia="Calibri" w:hAnsi="Calibri"/>
          <w:b w:val="false"/>
          <w:bCs w:val="false"/>
          <w:i w:val="false"/>
          <w:iCs w:val="false"/>
          <w:color w:val="000000"/>
          <w:sz w:val="22"/>
          <w:szCs w:val="22"/>
        </w:rPr>
        <w:t xml:space="preserve">  19.2  Coordinación con servicios de salud mental y adicciones</w:t>
      </w:r>
    </w:p>
    <w:p>
      <w:pPr>
        <w:spacing w:after="100" w:before="100"/>
        <w:jc w:val="both"/>
      </w:pPr>
      <w:r>
        <w:rPr>
          <w:rFonts w:ascii="Calibri" w:cs="Calibri" w:eastAsia="Calibri" w:hAnsi="Calibri"/>
          <w:b w:val="false"/>
          <w:bCs w:val="false"/>
          <w:i w:val="false"/>
          <w:iCs w:val="false"/>
          <w:color w:val="000000"/>
          <w:sz w:val="22"/>
          <w:szCs w:val="22"/>
        </w:rPr>
        <w:t xml:space="preserve">  19.3  Coordinación con servicios sociales municipales</w:t>
      </w:r>
    </w:p>
    <w:p>
      <w:pPr>
        <w:spacing w:after="100" w:before="100"/>
        <w:jc w:val="both"/>
      </w:pPr>
      <w:r>
        <w:rPr>
          <w:rFonts w:ascii="Calibri" w:cs="Calibri" w:eastAsia="Calibri" w:hAnsi="Calibri"/>
          <w:b w:val="false"/>
          <w:bCs w:val="false"/>
          <w:i w:val="false"/>
          <w:iCs w:val="false"/>
          <w:color w:val="000000"/>
          <w:sz w:val="22"/>
          <w:szCs w:val="22"/>
        </w:rPr>
        <w:t xml:space="preserve">  19.4  Coordinación con el sistema judicial y de tutela</w:t>
      </w:r>
    </w:p>
    <w:p>
      <w:pPr>
        <w:spacing w:after="100" w:before="100"/>
        <w:jc w:val="both"/>
      </w:pPr>
      <w:r>
        <w:rPr>
          <w:rFonts w:ascii="Calibri" w:cs="Calibri" w:eastAsia="Calibri" w:hAnsi="Calibri"/>
          <w:b w:val="false"/>
          <w:bCs w:val="false"/>
          <w:i w:val="false"/>
          <w:iCs w:val="false"/>
          <w:color w:val="000000"/>
          <w:sz w:val="22"/>
          <w:szCs w:val="22"/>
        </w:rPr>
        <w:t xml:space="preserve">  19.5  Relación con propietarios y agentes inmobiliarios</w:t>
      </w:r>
    </w:p>
    <w:p>
      <w:pPr>
        <w:spacing w:after="100" w:before="100"/>
        <w:jc w:val="both"/>
      </w:pPr>
      <w:r>
        <w:rPr>
          <w:rFonts w:ascii="Calibri" w:cs="Calibri" w:eastAsia="Calibri" w:hAnsi="Calibri"/>
          <w:b w:val="false"/>
          <w:bCs w:val="false"/>
          <w:i w:val="false"/>
          <w:iCs w:val="false"/>
          <w:color w:val="000000"/>
          <w:sz w:val="22"/>
          <w:szCs w:val="22"/>
        </w:rPr>
        <w:t xml:space="preserve">  19.6  Plantilla de protocolo de coordinación interinstitucional</w:t>
      </w:r>
    </w:p>
    <w:p>
      <w:pPr>
        <w:spacing w:after="120" w:before="120"/>
      </w:pPr>
      <w:r>
        <w:t xml:space="preserve"/>
      </w:r>
    </w:p>
    <w:p>
      <w:pPr>
        <w:spacing w:after="100" w:before="100"/>
        <w:jc w:val="both"/>
      </w:pPr>
      <w:r>
        <w:rPr>
          <w:rFonts w:ascii="Calibri" w:cs="Calibri" w:eastAsia="Calibri" w:hAnsi="Calibri"/>
          <w:b/>
          <w:bCs/>
          <w:i w:val="false"/>
          <w:iCs w:val="false"/>
          <w:color w:val="000000"/>
          <w:sz w:val="22"/>
          <w:szCs w:val="22"/>
        </w:rPr>
        <w:t xml:space="preserve">Módulo 20: Gestión del Equipo y Supervisión Profesional</w:t>
      </w:r>
    </w:p>
    <w:p>
      <w:pPr>
        <w:spacing w:after="100" w:before="100"/>
        <w:jc w:val="both"/>
      </w:pPr>
      <w:r>
        <w:rPr>
          <w:rFonts w:ascii="Calibri" w:cs="Calibri" w:eastAsia="Calibri" w:hAnsi="Calibri"/>
          <w:b w:val="false"/>
          <w:bCs w:val="false"/>
          <w:i w:val="false"/>
          <w:iCs w:val="false"/>
          <w:color w:val="000000"/>
          <w:sz w:val="22"/>
          <w:szCs w:val="22"/>
        </w:rPr>
        <w:t xml:space="preserve">  20.1  El equipo Housing First: estructura y funciones</w:t>
      </w:r>
    </w:p>
    <w:p>
      <w:pPr>
        <w:spacing w:after="100" w:before="100"/>
        <w:jc w:val="both"/>
      </w:pPr>
      <w:r>
        <w:rPr>
          <w:rFonts w:ascii="Calibri" w:cs="Calibri" w:eastAsia="Calibri" w:hAnsi="Calibri"/>
          <w:b w:val="false"/>
          <w:bCs w:val="false"/>
          <w:i w:val="false"/>
          <w:iCs w:val="false"/>
          <w:color w:val="000000"/>
          <w:sz w:val="22"/>
          <w:szCs w:val="22"/>
        </w:rPr>
        <w:t xml:space="preserve">  20.2  Supervisión clínica y de equipo</w:t>
      </w:r>
    </w:p>
    <w:p>
      <w:pPr>
        <w:spacing w:after="100" w:before="100"/>
        <w:jc w:val="both"/>
      </w:pPr>
      <w:r>
        <w:rPr>
          <w:rFonts w:ascii="Calibri" w:cs="Calibri" w:eastAsia="Calibri" w:hAnsi="Calibri"/>
          <w:b w:val="false"/>
          <w:bCs w:val="false"/>
          <w:i w:val="false"/>
          <w:iCs w:val="false"/>
          <w:color w:val="000000"/>
          <w:sz w:val="22"/>
          <w:szCs w:val="22"/>
        </w:rPr>
        <w:t xml:space="preserve">  20.3  Prevención del burnout y cuidado de los profesionales</w:t>
      </w:r>
    </w:p>
    <w:p>
      <w:pPr>
        <w:spacing w:after="100" w:before="100"/>
        <w:jc w:val="both"/>
      </w:pPr>
      <w:r>
        <w:rPr>
          <w:rFonts w:ascii="Calibri" w:cs="Calibri" w:eastAsia="Calibri" w:hAnsi="Calibri"/>
          <w:b w:val="false"/>
          <w:bCs w:val="false"/>
          <w:i w:val="false"/>
          <w:iCs w:val="false"/>
          <w:color w:val="000000"/>
          <w:sz w:val="22"/>
          <w:szCs w:val="22"/>
        </w:rPr>
        <w:t xml:space="preserve">  20.4  Formación continuada y desarrollo profesional</w:t>
      </w:r>
    </w:p>
    <w:p>
      <w:pPr>
        <w:spacing w:after="100" w:before="100"/>
        <w:jc w:val="both"/>
      </w:pPr>
      <w:r>
        <w:rPr>
          <w:rFonts w:ascii="Calibri" w:cs="Calibri" w:eastAsia="Calibri" w:hAnsi="Calibri"/>
          <w:b w:val="false"/>
          <w:bCs w:val="false"/>
          <w:i w:val="false"/>
          <w:iCs w:val="false"/>
          <w:color w:val="000000"/>
          <w:sz w:val="22"/>
          <w:szCs w:val="22"/>
        </w:rPr>
        <w:t xml:space="preserve">  20.5  Plantilla de supervisión de caso</w:t>
      </w:r>
    </w:p>
    <w:p>
      <w:pPr>
        <w:spacing w:after="120" w:before="120"/>
      </w:pPr>
      <w:r>
        <w:t xml:space="preserve"/>
      </w:r>
    </w:p>
    <w:p>
      <w:pPr>
        <w:spacing w:after="100" w:before="100"/>
        <w:jc w:val="both"/>
      </w:pPr>
      <w:r>
        <w:rPr>
          <w:rFonts w:ascii="Calibri" w:cs="Calibri" w:eastAsia="Calibri" w:hAnsi="Calibri"/>
          <w:b/>
          <w:bCs/>
          <w:i w:val="false"/>
          <w:iCs w:val="false"/>
          <w:color w:val="000000"/>
          <w:sz w:val="22"/>
          <w:szCs w:val="22"/>
        </w:rPr>
        <w:t xml:space="preserve">Módulo 21: Marco Ético y Deontológico</w:t>
      </w:r>
    </w:p>
    <w:p>
      <w:pPr>
        <w:spacing w:after="100" w:before="100"/>
        <w:jc w:val="both"/>
      </w:pPr>
      <w:r>
        <w:rPr>
          <w:rFonts w:ascii="Calibri" w:cs="Calibri" w:eastAsia="Calibri" w:hAnsi="Calibri"/>
          <w:b w:val="false"/>
          <w:bCs w:val="false"/>
          <w:i w:val="false"/>
          <w:iCs w:val="false"/>
          <w:color w:val="000000"/>
          <w:sz w:val="22"/>
          <w:szCs w:val="22"/>
        </w:rPr>
        <w:t xml:space="preserve">  21.1  Principios éticos en Housing First</w:t>
      </w:r>
    </w:p>
    <w:p>
      <w:pPr>
        <w:spacing w:after="100" w:before="100"/>
        <w:jc w:val="both"/>
      </w:pPr>
      <w:r>
        <w:rPr>
          <w:rFonts w:ascii="Calibri" w:cs="Calibri" w:eastAsia="Calibri" w:hAnsi="Calibri"/>
          <w:b w:val="false"/>
          <w:bCs w:val="false"/>
          <w:i w:val="false"/>
          <w:iCs w:val="false"/>
          <w:color w:val="000000"/>
          <w:sz w:val="22"/>
          <w:szCs w:val="22"/>
        </w:rPr>
        <w:t xml:space="preserve">  21.2  Dilemas éticos frecuentes y su gestión</w:t>
      </w:r>
    </w:p>
    <w:p>
      <w:pPr>
        <w:spacing w:after="100" w:before="100"/>
        <w:jc w:val="both"/>
      </w:pPr>
      <w:r>
        <w:rPr>
          <w:rFonts w:ascii="Calibri" w:cs="Calibri" w:eastAsia="Calibri" w:hAnsi="Calibri"/>
          <w:b w:val="false"/>
          <w:bCs w:val="false"/>
          <w:i w:val="false"/>
          <w:iCs w:val="false"/>
          <w:color w:val="000000"/>
          <w:sz w:val="22"/>
          <w:szCs w:val="22"/>
        </w:rPr>
        <w:t xml:space="preserve">  21.3  Autonomía versus protección: el debate central</w:t>
      </w:r>
    </w:p>
    <w:p>
      <w:pPr>
        <w:spacing w:after="100" w:before="100"/>
        <w:jc w:val="both"/>
      </w:pPr>
      <w:r>
        <w:rPr>
          <w:rFonts w:ascii="Calibri" w:cs="Calibri" w:eastAsia="Calibri" w:hAnsi="Calibri"/>
          <w:b w:val="false"/>
          <w:bCs w:val="false"/>
          <w:i w:val="false"/>
          <w:iCs w:val="false"/>
          <w:color w:val="000000"/>
          <w:sz w:val="22"/>
          <w:szCs w:val="22"/>
        </w:rPr>
        <w:t xml:space="preserve">  21.4  Confidencialidad y protección de datos (LOPD/RGPD)</w:t>
      </w:r>
    </w:p>
    <w:p>
      <w:pPr>
        <w:spacing w:after="100" w:before="100"/>
        <w:jc w:val="both"/>
      </w:pPr>
      <w:r>
        <w:rPr>
          <w:rFonts w:ascii="Calibri" w:cs="Calibri" w:eastAsia="Calibri" w:hAnsi="Calibri"/>
          <w:b w:val="false"/>
          <w:bCs w:val="false"/>
          <w:i w:val="false"/>
          <w:iCs w:val="false"/>
          <w:color w:val="000000"/>
          <w:sz w:val="22"/>
          <w:szCs w:val="22"/>
        </w:rPr>
        <w:t xml:space="preserve">  21.5  Consentimiento informado y derechos de las personas usuarias</w:t>
      </w:r>
    </w:p>
    <w:p>
      <w:pPr>
        <w:spacing w:after="120" w:before="120"/>
      </w:pPr>
      <w:r>
        <w:t xml:space="preserve"/>
      </w:r>
    </w:p>
    <w:p>
      <w:pPr>
        <w:spacing w:after="100" w:before="100"/>
        <w:jc w:val="both"/>
      </w:pPr>
      <w:r>
        <w:rPr>
          <w:rFonts w:ascii="Calibri" w:cs="Calibri" w:eastAsia="Calibri" w:hAnsi="Calibri"/>
          <w:b/>
          <w:bCs/>
          <w:i w:val="false"/>
          <w:iCs w:val="false"/>
          <w:color w:val="000000"/>
          <w:sz w:val="22"/>
          <w:szCs w:val="22"/>
        </w:rPr>
        <w:t xml:space="preserve">Módulo 22: Marco Legal y Normativo</w:t>
      </w:r>
    </w:p>
    <w:p>
      <w:pPr>
        <w:spacing w:after="100" w:before="100"/>
        <w:jc w:val="both"/>
      </w:pPr>
      <w:r>
        <w:rPr>
          <w:rFonts w:ascii="Calibri" w:cs="Calibri" w:eastAsia="Calibri" w:hAnsi="Calibri"/>
          <w:b w:val="false"/>
          <w:bCs w:val="false"/>
          <w:i w:val="false"/>
          <w:iCs w:val="false"/>
          <w:color w:val="000000"/>
          <w:sz w:val="22"/>
          <w:szCs w:val="22"/>
        </w:rPr>
        <w:t xml:space="preserve">  22.1  Marco normativo estatal: Ley de Servicios Sociales y legislación aplicable</w:t>
      </w:r>
    </w:p>
    <w:p>
      <w:pPr>
        <w:spacing w:after="100" w:before="100"/>
        <w:jc w:val="both"/>
      </w:pPr>
      <w:r>
        <w:rPr>
          <w:rFonts w:ascii="Calibri" w:cs="Calibri" w:eastAsia="Calibri" w:hAnsi="Calibri"/>
          <w:b w:val="false"/>
          <w:bCs w:val="false"/>
          <w:i w:val="false"/>
          <w:iCs w:val="false"/>
          <w:color w:val="000000"/>
          <w:sz w:val="22"/>
          <w:szCs w:val="22"/>
        </w:rPr>
        <w:t xml:space="preserve">  22.2  Derecho a la vivienda: normativa vigente</w:t>
      </w:r>
    </w:p>
    <w:p>
      <w:pPr>
        <w:spacing w:after="100" w:before="100"/>
        <w:jc w:val="both"/>
      </w:pPr>
      <w:r>
        <w:rPr>
          <w:rFonts w:ascii="Calibri" w:cs="Calibri" w:eastAsia="Calibri" w:hAnsi="Calibri"/>
          <w:b w:val="false"/>
          <w:bCs w:val="false"/>
          <w:i w:val="false"/>
          <w:iCs w:val="false"/>
          <w:color w:val="000000"/>
          <w:sz w:val="22"/>
          <w:szCs w:val="22"/>
        </w:rPr>
        <w:t xml:space="preserve">  22.3  Legislación en materia de salud mental</w:t>
      </w:r>
    </w:p>
    <w:p>
      <w:pPr>
        <w:spacing w:after="100" w:before="100"/>
        <w:jc w:val="both"/>
      </w:pPr>
      <w:r>
        <w:rPr>
          <w:rFonts w:ascii="Calibri" w:cs="Calibri" w:eastAsia="Calibri" w:hAnsi="Calibri"/>
          <w:b w:val="false"/>
          <w:bCs w:val="false"/>
          <w:i w:val="false"/>
          <w:iCs w:val="false"/>
          <w:color w:val="000000"/>
          <w:sz w:val="22"/>
          <w:szCs w:val="22"/>
        </w:rPr>
        <w:t xml:space="preserve">  22.4  Normativa sobre subvenciones y justificación de fondos públicos</w:t>
      </w:r>
    </w:p>
    <w:p>
      <w:pPr>
        <w:spacing w:after="100" w:before="100"/>
        <w:jc w:val="both"/>
      </w:pPr>
      <w:r>
        <w:rPr>
          <w:rFonts w:ascii="Calibri" w:cs="Calibri" w:eastAsia="Calibri" w:hAnsi="Calibri"/>
          <w:b w:val="false"/>
          <w:bCs w:val="false"/>
          <w:i w:val="false"/>
          <w:iCs w:val="false"/>
          <w:color w:val="000000"/>
          <w:sz w:val="22"/>
          <w:szCs w:val="22"/>
        </w:rPr>
        <w:t xml:space="preserve">  22.5  Normativa europea: PRTR y Mecanismo de Recuperación</w:t>
      </w:r>
    </w:p>
    <w:p>
      <w:pPr>
        <w:spacing w:after="100" w:before="100"/>
        <w:jc w:val="both"/>
      </w:pPr>
      <w:r>
        <w:rPr>
          <w:rFonts w:ascii="Calibri" w:cs="Calibri" w:eastAsia="Calibri" w:hAnsi="Calibri"/>
          <w:b w:val="false"/>
          <w:bCs w:val="false"/>
          <w:i w:val="false"/>
          <w:iCs w:val="false"/>
          <w:color w:val="000000"/>
          <w:sz w:val="22"/>
          <w:szCs w:val="22"/>
        </w:rPr>
        <w:t xml:space="preserve">  22.6  Checklist de cumplimiento normativo para programas Housing First</w:t>
      </w:r>
    </w:p>
    <w:p>
      <w:pPr>
        <w:spacing w:after="120" w:before="120"/>
      </w:pPr>
      <w:r>
        <w:t xml:space="preserve"/>
      </w:r>
    </w:p>
    <w:p>
      <w:pPr>
        <w:spacing w:after="100" w:before="100"/>
        <w:jc w:val="both"/>
      </w:pPr>
      <w:r>
        <w:rPr>
          <w:rFonts w:ascii="Calibri" w:cs="Calibri" w:eastAsia="Calibri" w:hAnsi="Calibri"/>
          <w:b/>
          <w:bCs/>
          <w:i w:val="false"/>
          <w:iCs w:val="false"/>
          <w:color w:val="000000"/>
          <w:sz w:val="22"/>
          <w:szCs w:val="22"/>
        </w:rPr>
        <w:t xml:space="preserve">Resumen ejecutivo y actividades de cierre del curso</w:t>
      </w:r>
    </w:p>
    <w:p>
      <w:pPr>
        <w:pStyle w:val="Heading1"/>
        <w:pageBreakBefore/>
        <w:shd w:fill="1F4E79" w:val="clear"/>
        <w:spacing w:after="200" w:before="240"/>
      </w:pPr>
      <w:r>
        <w:rPr>
          <w:rFonts w:ascii="Calibri" w:cs="Calibri" w:eastAsia="Calibri" w:hAnsi="Calibri"/>
          <w:b/>
          <w:bCs/>
          <w:color w:val="FFFFFF"/>
          <w:sz w:val="32"/>
          <w:szCs w:val="32"/>
        </w:rPr>
        <w:t xml:space="preserve">MÓDULO 18: EVALUACIÓN Y SEGUIMIENTO DEL PROGRAMA</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Objetivo del módulo</w:t>
            </w:r>
          </w:p>
          <w:p>
            <w:pPr>
              <w:spacing w:after="60" w:before="60"/>
            </w:pPr>
            <w:r>
              <w:rPr>
                <w:rFonts w:ascii="Calibri" w:cs="Calibri" w:eastAsia="Calibri" w:hAnsi="Calibri"/>
                <w:sz w:val="22"/>
                <w:szCs w:val="22"/>
              </w:rPr>
              <w:t xml:space="preserve">Al finalizar este módulo el/la profesional será capaz de diseñar e implementar un sistema de evaluación completo para programas Housing First, seleccionar indicadores pertinentes, recoger datos de forma sistemática y elaborar informes de seguimiento individuales y de programa.</w:t>
            </w:r>
          </w:p>
        </w:tc>
      </w:tr>
    </w:tbl>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18.1 El Sistema de Evaluación en Housing First</w:t>
      </w:r>
    </w:p>
    <w:p>
      <w:pPr>
        <w:spacing w:after="100" w:before="100"/>
        <w:jc w:val="both"/>
      </w:pPr>
      <w:r>
        <w:rPr>
          <w:rFonts w:ascii="Calibri" w:cs="Calibri" w:eastAsia="Calibri" w:hAnsi="Calibri"/>
          <w:b w:val="false"/>
          <w:bCs w:val="false"/>
          <w:i w:val="false"/>
          <w:iCs w:val="false"/>
          <w:color w:val="000000"/>
          <w:sz w:val="22"/>
          <w:szCs w:val="22"/>
        </w:rPr>
        <w:t xml:space="preserve">La evaluación en Housing First no es un elemento añadido al programa, sino parte constitutiva de su funcionamiento. El modelo se desarrolló históricamente ligado a la investigación experimental y esa tradición persiste: los programas de mayor calidad mantienen sistemas robustos de recogida y análisis de datos que permiten tanto la mejora continua interna como la rendición de cuentas ante financiadores.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La evaluación en Housing First se estructura en tres niveles complementarios: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1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Nivel</w:t>
            </w:r>
          </w:p>
        </w:tc>
        <w:tc>
          <w:tcPr>
            <w:tcW w:type="dxa" w:w="3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Objeto de evaluación</w:t>
            </w:r>
          </w:p>
        </w:tc>
        <w:tc>
          <w:tcPr>
            <w:tcW w:type="dxa" w:w="2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Periodicidad</w:t>
            </w:r>
          </w:p>
        </w:tc>
        <w:tc>
          <w:tcPr>
            <w:tcW w:type="dxa" w:w="22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Responsable</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Individual</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Evolución de cada persona usuaria en las 8 áreas del EUIC</w:t>
            </w:r>
          </w:p>
        </w:tc>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Mensual / trimestral</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Profesional de referencia</w:t>
            </w:r>
          </w:p>
        </w:tc>
      </w:tr>
      <w:tr>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Programa</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Cumplimiento de indicadores de proceso y resultado</w:t>
            </w:r>
          </w:p>
        </w:tc>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Trimestral / anual</w:t>
            </w:r>
          </w:p>
        </w:tc>
        <w:tc>
          <w:tcPr>
            <w:tcW w:type="dxa" w:w="2226"/>
            <w:shd w:fill="FFFFFF" w:val="clear"/>
            <w:tcMar>
              <w:top w:type="dxa" w:w="60"/>
              <w:left w:type="dxa" w:w="100"/>
              <w:bottom w:type="dxa" w:w="60"/>
              <w:right w:type="dxa" w:w="100"/>
            </w:tcMar>
          </w:tcPr>
          <w:p>
            <w:r>
              <w:rPr>
                <w:rFonts w:ascii="Calibri" w:cs="Calibri" w:eastAsia="Calibri" w:hAnsi="Calibri"/>
                <w:sz w:val="20"/>
                <w:szCs w:val="20"/>
              </w:rPr>
              <w:t xml:space="preserve">Coordinador/a</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Sistema</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Impacto en el sistema de servicios y en la comunidad</w:t>
            </w:r>
          </w:p>
        </w:tc>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Anual / bienal</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Entidad + financiador</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El sistema de evaluación debe estar documentado desde el inicio del programa en un Plan de Evaluación que incluya: objetivos de la evaluación, indicadores seleccionados, fuentes de información, instrumentos de recogida, periodicidad, responsables y procedimiento de análisis y comunicación de resultados.</w:t>
      </w:r>
    </w:p>
    <w:p>
      <w:pPr>
        <w:pStyle w:val="Heading2"/>
        <w:shd w:fill="2E75B6" w:val="clear"/>
        <w:spacing w:after="120" w:before="200"/>
      </w:pPr>
      <w:r>
        <w:rPr>
          <w:rFonts w:ascii="Calibri" w:cs="Calibri" w:eastAsia="Calibri" w:hAnsi="Calibri"/>
          <w:b/>
          <w:bCs/>
          <w:color w:val="FFFFFF"/>
          <w:sz w:val="26"/>
          <w:szCs w:val="26"/>
        </w:rPr>
        <w:t xml:space="preserve">18.2 Indicadores de Resultado y Proceso</w:t>
      </w:r>
    </w:p>
    <w:p>
      <w:pPr>
        <w:spacing w:after="100" w:before="100"/>
        <w:jc w:val="both"/>
      </w:pPr>
      <w:r>
        <w:rPr>
          <w:rFonts w:ascii="Calibri" w:cs="Calibri" w:eastAsia="Calibri" w:hAnsi="Calibri"/>
          <w:b w:val="false"/>
          <w:bCs w:val="false"/>
          <w:i w:val="false"/>
          <w:iCs w:val="false"/>
          <w:color w:val="000000"/>
          <w:sz w:val="22"/>
          <w:szCs w:val="22"/>
        </w:rPr>
        <w:t xml:space="preserve">Los indicadores de Housing First se clasifican en dos grandes categorías: indicadores de resultado (outcomes), que miden cambios en la situación de las personas; e indicadores de proceso, que miden la implementación correcta del programa.</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E6B3C" w:sz="4"/>
              <w:left w:val="single" w:color="1E6B3C" w:sz="12"/>
              <w:bottom w:val="single" w:color="1E6B3C" w:sz="4"/>
              <w:right w:val="none"/>
            </w:tcBorders>
            <w:shd w:fill="D5EFDC" w:val="clear"/>
            <w:tcMar>
              <w:top w:type="dxa" w:w="100"/>
              <w:left w:type="dxa" w:w="150"/>
              <w:bottom w:type="dxa" w:w="100"/>
              <w:right w:type="dxa" w:w="150"/>
            </w:tcMar>
          </w:tcPr>
          <w:p>
            <w:pPr>
              <w:spacing w:after="80" w:before="80"/>
            </w:pPr>
            <w:r>
              <w:rPr>
                <w:rFonts w:ascii="Calibri" w:cs="Calibri" w:eastAsia="Calibri" w:hAnsi="Calibri"/>
                <w:b/>
                <w:bCs/>
                <w:color w:val="1E6B3C"/>
                <w:sz w:val="24"/>
                <w:szCs w:val="24"/>
              </w:rPr>
              <w:t xml:space="preserve">Indicadores de resultado esenciales</w:t>
            </w:r>
          </w:p>
          <w:p>
            <w:pPr>
              <w:spacing w:after="60" w:before="60"/>
            </w:pPr>
            <w:r>
              <w:rPr>
                <w:rFonts w:ascii="Calibri" w:cs="Calibri" w:eastAsia="Calibri" w:hAnsi="Calibri"/>
                <w:sz w:val="22"/>
                <w:szCs w:val="22"/>
              </w:rPr>
              <w:t xml:space="preserve">1. Mantenimiento de vivienda: % de personas que mantienen vivienda estable a 6, 12 y 24 meses.</w:t>
            </w:r>
          </w:p>
          <w:p>
            <w:pPr>
              <w:spacing w:after="60" w:before="60"/>
            </w:pPr>
            <w:r>
              <w:rPr>
                <w:rFonts w:ascii="Calibri" w:cs="Calibri" w:eastAsia="Calibri" w:hAnsi="Calibri"/>
                <w:sz w:val="22"/>
                <w:szCs w:val="22"/>
              </w:rPr>
              <w:t xml:space="preserve">2. Días en vivienda: número medio de días en alojamiento estable en el período evaluado.</w:t>
            </w:r>
          </w:p>
          <w:p>
            <w:pPr>
              <w:spacing w:after="60" w:before="60"/>
            </w:pPr>
            <w:r>
              <w:rPr>
                <w:rFonts w:ascii="Calibri" w:cs="Calibri" w:eastAsia="Calibri" w:hAnsi="Calibri"/>
                <w:sz w:val="22"/>
                <w:szCs w:val="22"/>
              </w:rPr>
              <w:t xml:space="preserve">3. Reducción de noches en calle: comparación pre-post ingreso al programa.</w:t>
            </w:r>
          </w:p>
          <w:p>
            <w:pPr>
              <w:spacing w:after="60" w:before="60"/>
            </w:pPr>
            <w:r>
              <w:rPr>
                <w:rFonts w:ascii="Calibri" w:cs="Calibri" w:eastAsia="Calibri" w:hAnsi="Calibri"/>
                <w:sz w:val="22"/>
                <w:szCs w:val="22"/>
              </w:rPr>
              <w:t xml:space="preserve">4. Utilización de servicios de urgencias: número de episodios de urgencias hospitalarias antes y después del acceso a vivienda.</w:t>
            </w:r>
          </w:p>
          <w:p>
            <w:pPr>
              <w:spacing w:after="60" w:before="60"/>
            </w:pPr>
            <w:r>
              <w:rPr>
                <w:rFonts w:ascii="Calibri" w:cs="Calibri" w:eastAsia="Calibri" w:hAnsi="Calibri"/>
                <w:sz w:val="22"/>
                <w:szCs w:val="22"/>
              </w:rPr>
              <w:t xml:space="preserve">5. Hospitalizaciones psiquiátricas: días de hospitalización en el período.</w:t>
            </w:r>
          </w:p>
          <w:p>
            <w:pPr>
              <w:spacing w:after="60" w:before="60"/>
            </w:pPr>
            <w:r>
              <w:rPr>
                <w:rFonts w:ascii="Calibri" w:cs="Calibri" w:eastAsia="Calibri" w:hAnsi="Calibri"/>
                <w:sz w:val="22"/>
                <w:szCs w:val="22"/>
              </w:rPr>
              <w:t xml:space="preserve">6. Ingresos en prisión: número de días de privación de libertad.</w:t>
            </w:r>
          </w:p>
          <w:p>
            <w:pPr>
              <w:spacing w:after="60" w:before="60"/>
            </w:pPr>
            <w:r>
              <w:rPr>
                <w:rFonts w:ascii="Calibri" w:cs="Calibri" w:eastAsia="Calibri" w:hAnsi="Calibri"/>
                <w:sz w:val="22"/>
                <w:szCs w:val="22"/>
              </w:rPr>
              <w:t xml:space="preserve">7. Calidad de vida percibida: puntuación en escala validada (MANSAS u otra).</w:t>
            </w:r>
          </w:p>
          <w:p>
            <w:pPr>
              <w:spacing w:after="60" w:before="60"/>
            </w:pPr>
            <w:r>
              <w:rPr>
                <w:rFonts w:ascii="Calibri" w:cs="Calibri" w:eastAsia="Calibri" w:hAnsi="Calibri"/>
                <w:sz w:val="22"/>
                <w:szCs w:val="22"/>
              </w:rPr>
              <w:t xml:space="preserve">8. Estado de salud: puntuación GHQ-12 o equivalente.</w:t>
            </w:r>
          </w:p>
          <w:p>
            <w:pPr>
              <w:spacing w:after="60" w:before="60"/>
            </w:pPr>
            <w:r>
              <w:rPr>
                <w:rFonts w:ascii="Calibri" w:cs="Calibri" w:eastAsia="Calibri" w:hAnsi="Calibri"/>
                <w:sz w:val="22"/>
                <w:szCs w:val="22"/>
              </w:rPr>
              <w:t xml:space="preserve">9. Ingresos económicos propios: cambio en fuentes de ingresos.</w:t>
            </w:r>
          </w:p>
          <w:p>
            <w:pPr>
              <w:spacing w:after="60" w:before="60"/>
            </w:pPr>
            <w:r>
              <w:rPr>
                <w:rFonts w:ascii="Calibri" w:cs="Calibri" w:eastAsia="Calibri" w:hAnsi="Calibri"/>
                <w:sz w:val="22"/>
                <w:szCs w:val="22"/>
              </w:rPr>
              <w:t xml:space="preserve">10. Integración comunitaria: puntuación en escala de integración comunitaria.</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FF2CC"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Indicadores de proceso esenciales</w:t>
            </w:r>
          </w:p>
          <w:p>
            <w:pPr>
              <w:spacing w:after="60" w:before="60"/>
            </w:pPr>
            <w:r>
              <w:rPr>
                <w:rFonts w:ascii="Calibri" w:cs="Calibri" w:eastAsia="Calibri" w:hAnsi="Calibri"/>
                <w:sz w:val="22"/>
                <w:szCs w:val="22"/>
              </w:rPr>
              <w:t xml:space="preserve">1. Fidelidad al modelo: puntuación en escala de fidelidad HF-Fidelity (ver Módulo 5).</w:t>
            </w:r>
          </w:p>
          <w:p>
            <w:pPr>
              <w:spacing w:after="60" w:before="60"/>
            </w:pPr>
            <w:r>
              <w:rPr>
                <w:rFonts w:ascii="Calibri" w:cs="Calibri" w:eastAsia="Calibri" w:hAnsi="Calibri"/>
                <w:sz w:val="22"/>
                <w:szCs w:val="22"/>
              </w:rPr>
              <w:t xml:space="preserve">2. Tasa de ocupación: % de plazas cubiertas respecto al total disponible.</w:t>
            </w:r>
          </w:p>
          <w:p>
            <w:pPr>
              <w:spacing w:after="60" w:before="60"/>
            </w:pPr>
            <w:r>
              <w:rPr>
                <w:rFonts w:ascii="Calibri" w:cs="Calibri" w:eastAsia="Calibri" w:hAnsi="Calibri"/>
                <w:sz w:val="22"/>
                <w:szCs w:val="22"/>
              </w:rPr>
              <w:t xml:space="preserve">3. Tiempo de acceso a vivienda: días desde el primer contacto hasta el acceso al piso.</w:t>
            </w:r>
          </w:p>
          <w:p>
            <w:pPr>
              <w:spacing w:after="60" w:before="60"/>
            </w:pPr>
            <w:r>
              <w:rPr>
                <w:rFonts w:ascii="Calibri" w:cs="Calibri" w:eastAsia="Calibri" w:hAnsi="Calibri"/>
                <w:sz w:val="22"/>
                <w:szCs w:val="22"/>
              </w:rPr>
              <w:t xml:space="preserve">4. Frecuencia de contacto: media de visitas domiciliarias por persona/mes.</w:t>
            </w:r>
          </w:p>
          <w:p>
            <w:pPr>
              <w:spacing w:after="60" w:before="60"/>
            </w:pPr>
            <w:r>
              <w:rPr>
                <w:rFonts w:ascii="Calibri" w:cs="Calibri" w:eastAsia="Calibri" w:hAnsi="Calibri"/>
                <w:sz w:val="22"/>
                <w:szCs w:val="22"/>
              </w:rPr>
              <w:t xml:space="preserve">5. Rotación de personal: número de bajas de profesionales en el período.</w:t>
            </w:r>
          </w:p>
          <w:p>
            <w:pPr>
              <w:spacing w:after="60" w:before="60"/>
            </w:pPr>
            <w:r>
              <w:rPr>
                <w:rFonts w:ascii="Calibri" w:cs="Calibri" w:eastAsia="Calibri" w:hAnsi="Calibri"/>
                <w:sz w:val="22"/>
                <w:szCs w:val="22"/>
              </w:rPr>
              <w:t xml:space="preserve">6. Participación en planificación: % de usuarios que participan en elaboración del EUIC.</w:t>
            </w:r>
          </w:p>
          <w:p>
            <w:pPr>
              <w:spacing w:after="60" w:before="60"/>
            </w:pPr>
            <w:r>
              <w:rPr>
                <w:rFonts w:ascii="Calibri" w:cs="Calibri" w:eastAsia="Calibri" w:hAnsi="Calibri"/>
                <w:sz w:val="22"/>
                <w:szCs w:val="22"/>
              </w:rPr>
              <w:t xml:space="preserve">7. Tasa de abandono voluntario: % de personas que causan baja no planificada.</w:t>
            </w:r>
          </w:p>
          <w:p>
            <w:pPr>
              <w:spacing w:after="60" w:before="60"/>
            </w:pPr>
            <w:r>
              <w:rPr>
                <w:rFonts w:ascii="Calibri" w:cs="Calibri" w:eastAsia="Calibri" w:hAnsi="Calibri"/>
                <w:sz w:val="22"/>
                <w:szCs w:val="22"/>
              </w:rPr>
              <w:t xml:space="preserve">8. Incidentes de vivienda: número de quejas de propietarios, impagos o deterioro.</w:t>
            </w:r>
          </w:p>
        </w:tc>
      </w:tr>
    </w:tbl>
    <w:p>
      <w:pPr>
        <w:pStyle w:val="Heading2"/>
        <w:shd w:fill="2E75B6" w:val="clear"/>
        <w:spacing w:after="120" w:before="200"/>
      </w:pPr>
      <w:r>
        <w:rPr>
          <w:rFonts w:ascii="Calibri" w:cs="Calibri" w:eastAsia="Calibri" w:hAnsi="Calibri"/>
          <w:b/>
          <w:bCs/>
          <w:color w:val="FFFFFF"/>
          <w:sz w:val="26"/>
          <w:szCs w:val="26"/>
        </w:rPr>
        <w:t xml:space="preserve">18.3 Herramientas de Recogida de Datos</w:t>
      </w:r>
    </w:p>
    <w:p>
      <w:pPr>
        <w:spacing w:after="100" w:before="100"/>
        <w:jc w:val="both"/>
      </w:pPr>
      <w:r>
        <w:rPr>
          <w:rFonts w:ascii="Calibri" w:cs="Calibri" w:eastAsia="Calibri" w:hAnsi="Calibri"/>
          <w:b w:val="false"/>
          <w:bCs w:val="false"/>
          <w:i w:val="false"/>
          <w:iCs w:val="false"/>
          <w:color w:val="000000"/>
          <w:sz w:val="22"/>
          <w:szCs w:val="22"/>
        </w:rPr>
        <w:t xml:space="preserve">La recogida de datos debe equilibrar la necesidad de información rigurosa con la viabilidad para los profesionales. Una batería excesiva de instrumentos genera resistencias y datos de baja calidad. La selección debe ser parsimoniosa y orientada a la toma de decisiones.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Instrumento</w:t>
            </w:r>
          </w:p>
        </w:tc>
        <w:tc>
          <w:tcPr>
            <w:tcW w:type="dxa" w:w="25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Qué mide</w:t>
            </w:r>
          </w:p>
        </w:tc>
        <w:tc>
          <w:tcPr>
            <w:tcW w:type="dxa" w:w="22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Cuándo aplicar</w:t>
            </w:r>
          </w:p>
        </w:tc>
        <w:tc>
          <w:tcPr>
            <w:tcW w:type="dxa" w:w="21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Tiempo aproximado</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EUIC (Europeo de Intervención Coordinada)</w:t>
            </w:r>
          </w:p>
        </w:tc>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Estado en 8 áreas vitales + evolución</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Ingreso, cada 3 meses, salida</w:t>
            </w:r>
          </w:p>
        </w:tc>
        <w:tc>
          <w:tcPr>
            <w:tcW w:type="dxa" w:w="2100"/>
            <w:shd w:fill="F2F2F2" w:val="clear"/>
            <w:tcMar>
              <w:top w:type="dxa" w:w="60"/>
              <w:left w:type="dxa" w:w="100"/>
              <w:bottom w:type="dxa" w:w="60"/>
              <w:right w:type="dxa" w:w="100"/>
            </w:tcMar>
          </w:tcPr>
          <w:p>
            <w:r>
              <w:rPr>
                <w:rFonts w:ascii="Calibri" w:cs="Calibri" w:eastAsia="Calibri" w:hAnsi="Calibri"/>
                <w:sz w:val="20"/>
                <w:szCs w:val="20"/>
              </w:rPr>
              <w:t xml:space="preserve">45-60 min</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GHQ-12 (General Health Questionnaire)</w:t>
            </w:r>
          </w:p>
        </w:tc>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Salud mental general (screening)</w:t>
            </w:r>
          </w:p>
        </w:tc>
        <w:tc>
          <w:tcPr>
            <w:tcW w:type="dxa" w:w="2226"/>
            <w:shd w:fill="FFFFFF" w:val="clear"/>
            <w:tcMar>
              <w:top w:type="dxa" w:w="60"/>
              <w:left w:type="dxa" w:w="100"/>
              <w:bottom w:type="dxa" w:w="60"/>
              <w:right w:type="dxa" w:w="100"/>
            </w:tcMar>
          </w:tcPr>
          <w:p>
            <w:r>
              <w:rPr>
                <w:rFonts w:ascii="Calibri" w:cs="Calibri" w:eastAsia="Calibri" w:hAnsi="Calibri"/>
                <w:sz w:val="20"/>
                <w:szCs w:val="20"/>
              </w:rPr>
              <w:t xml:space="preserve">Ingreso, cada 6 meses, salida</w:t>
            </w:r>
          </w:p>
        </w:tc>
        <w:tc>
          <w:tcPr>
            <w:tcW w:type="dxa" w:w="2100"/>
            <w:shd w:fill="FFFFFF" w:val="clear"/>
            <w:tcMar>
              <w:top w:type="dxa" w:w="60"/>
              <w:left w:type="dxa" w:w="100"/>
              <w:bottom w:type="dxa" w:w="60"/>
              <w:right w:type="dxa" w:w="100"/>
            </w:tcMar>
          </w:tcPr>
          <w:p>
            <w:r>
              <w:rPr>
                <w:rFonts w:ascii="Calibri" w:cs="Calibri" w:eastAsia="Calibri" w:hAnsi="Calibri"/>
                <w:sz w:val="20"/>
                <w:szCs w:val="20"/>
              </w:rPr>
              <w:t xml:space="preserve">5-10 min</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EuropASI</w:t>
            </w:r>
          </w:p>
        </w:tc>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Gravedad en 6 áreas (alcohol, drogas, laboral, legal, relaciones, psiquiátrico)</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Ingreso, anual</w:t>
            </w:r>
          </w:p>
        </w:tc>
        <w:tc>
          <w:tcPr>
            <w:tcW w:type="dxa" w:w="2100"/>
            <w:shd w:fill="F2F2F2" w:val="clear"/>
            <w:tcMar>
              <w:top w:type="dxa" w:w="60"/>
              <w:left w:type="dxa" w:w="100"/>
              <w:bottom w:type="dxa" w:w="60"/>
              <w:right w:type="dxa" w:w="100"/>
            </w:tcMar>
          </w:tcPr>
          <w:p>
            <w:r>
              <w:rPr>
                <w:rFonts w:ascii="Calibri" w:cs="Calibri" w:eastAsia="Calibri" w:hAnsi="Calibri"/>
                <w:sz w:val="20"/>
                <w:szCs w:val="20"/>
              </w:rPr>
              <w:t xml:space="preserve">60-90 min</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MANSAS (Manchester Short Assessment of QoL)</w:t>
            </w:r>
          </w:p>
        </w:tc>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Calidad de vida percibida en 16 dominios</w:t>
            </w:r>
          </w:p>
        </w:tc>
        <w:tc>
          <w:tcPr>
            <w:tcW w:type="dxa" w:w="2226"/>
            <w:shd w:fill="FFFFFF" w:val="clear"/>
            <w:tcMar>
              <w:top w:type="dxa" w:w="60"/>
              <w:left w:type="dxa" w:w="100"/>
              <w:bottom w:type="dxa" w:w="60"/>
              <w:right w:type="dxa" w:w="100"/>
            </w:tcMar>
          </w:tcPr>
          <w:p>
            <w:r>
              <w:rPr>
                <w:rFonts w:ascii="Calibri" w:cs="Calibri" w:eastAsia="Calibri" w:hAnsi="Calibri"/>
                <w:sz w:val="20"/>
                <w:szCs w:val="20"/>
              </w:rPr>
              <w:t xml:space="preserve">Ingreso, cada 6 meses, salida</w:t>
            </w:r>
          </w:p>
        </w:tc>
        <w:tc>
          <w:tcPr>
            <w:tcW w:type="dxa" w:w="2100"/>
            <w:shd w:fill="FFFFFF" w:val="clear"/>
            <w:tcMar>
              <w:top w:type="dxa" w:w="60"/>
              <w:left w:type="dxa" w:w="100"/>
              <w:bottom w:type="dxa" w:w="60"/>
              <w:right w:type="dxa" w:w="100"/>
            </w:tcMar>
          </w:tcPr>
          <w:p>
            <w:r>
              <w:rPr>
                <w:rFonts w:ascii="Calibri" w:cs="Calibri" w:eastAsia="Calibri" w:hAnsi="Calibri"/>
                <w:sz w:val="20"/>
                <w:szCs w:val="20"/>
              </w:rPr>
              <w:t xml:space="preserve">10-15 min</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Índice de Barthel</w:t>
            </w:r>
          </w:p>
        </w:tc>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Autonomía en actividades básicas de la vida diaria</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Ingreso, anual (si aplica)</w:t>
            </w:r>
          </w:p>
        </w:tc>
        <w:tc>
          <w:tcPr>
            <w:tcW w:type="dxa" w:w="2100"/>
            <w:shd w:fill="F2F2F2" w:val="clear"/>
            <w:tcMar>
              <w:top w:type="dxa" w:w="60"/>
              <w:left w:type="dxa" w:w="100"/>
              <w:bottom w:type="dxa" w:w="60"/>
              <w:right w:type="dxa" w:w="100"/>
            </w:tcMar>
          </w:tcPr>
          <w:p>
            <w:r>
              <w:rPr>
                <w:rFonts w:ascii="Calibri" w:cs="Calibri" w:eastAsia="Calibri" w:hAnsi="Calibri"/>
                <w:sz w:val="20"/>
                <w:szCs w:val="20"/>
              </w:rPr>
              <w:t xml:space="preserve">10-15 min</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Registro de incidencias</w:t>
            </w:r>
          </w:p>
        </w:tc>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Episodios relevantes (crisis, impagos, conflictos)</w:t>
            </w:r>
          </w:p>
        </w:tc>
        <w:tc>
          <w:tcPr>
            <w:tcW w:type="dxa" w:w="2226"/>
            <w:shd w:fill="FFFFFF" w:val="clear"/>
            <w:tcMar>
              <w:top w:type="dxa" w:w="60"/>
              <w:left w:type="dxa" w:w="100"/>
              <w:bottom w:type="dxa" w:w="60"/>
              <w:right w:type="dxa" w:w="100"/>
            </w:tcMar>
          </w:tcPr>
          <w:p>
            <w:r>
              <w:rPr>
                <w:rFonts w:ascii="Calibri" w:cs="Calibri" w:eastAsia="Calibri" w:hAnsi="Calibri"/>
                <w:sz w:val="20"/>
                <w:szCs w:val="20"/>
              </w:rPr>
              <w:t xml:space="preserve">Continuo, cuando ocurran</w:t>
            </w:r>
          </w:p>
        </w:tc>
        <w:tc>
          <w:tcPr>
            <w:tcW w:type="dxa" w:w="2100"/>
            <w:shd w:fill="FFFFFF" w:val="clear"/>
            <w:tcMar>
              <w:top w:type="dxa" w:w="60"/>
              <w:left w:type="dxa" w:w="100"/>
              <w:bottom w:type="dxa" w:w="60"/>
              <w:right w:type="dxa" w:w="100"/>
            </w:tcMar>
          </w:tcPr>
          <w:p>
            <w:r>
              <w:rPr>
                <w:rFonts w:ascii="Calibri" w:cs="Calibri" w:eastAsia="Calibri" w:hAnsi="Calibri"/>
                <w:sz w:val="20"/>
                <w:szCs w:val="20"/>
              </w:rPr>
              <w:t xml:space="preserve">Variable</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Registro de servicios utilizados</w:t>
            </w:r>
          </w:p>
        </w:tc>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Urgencias, hospitalizaciones, contactos con servicios</w:t>
            </w:r>
          </w:p>
        </w:tc>
        <w:tc>
          <w:tcPr>
            <w:tcW w:type="dxa" w:w="2226"/>
            <w:shd w:fill="F2F2F2" w:val="clear"/>
            <w:tcMar>
              <w:top w:type="dxa" w:w="60"/>
              <w:left w:type="dxa" w:w="100"/>
              <w:bottom w:type="dxa" w:w="60"/>
              <w:right w:type="dxa" w:w="100"/>
            </w:tcMar>
          </w:tcPr>
          <w:p>
            <w:r>
              <w:rPr>
                <w:rFonts w:ascii="Calibri" w:cs="Calibri" w:eastAsia="Calibri" w:hAnsi="Calibri"/>
                <w:sz w:val="20"/>
                <w:szCs w:val="20"/>
              </w:rPr>
              <w:t xml:space="preserve">Mensual (revisión de historial)</w:t>
            </w:r>
          </w:p>
        </w:tc>
        <w:tc>
          <w:tcPr>
            <w:tcW w:type="dxa" w:w="2100"/>
            <w:shd w:fill="F2F2F2" w:val="clear"/>
            <w:tcMar>
              <w:top w:type="dxa" w:w="60"/>
              <w:left w:type="dxa" w:w="100"/>
              <w:bottom w:type="dxa" w:w="60"/>
              <w:right w:type="dxa" w:w="100"/>
            </w:tcMar>
          </w:tcPr>
          <w:p>
            <w:r>
              <w:rPr>
                <w:rFonts w:ascii="Calibri" w:cs="Calibri" w:eastAsia="Calibri" w:hAnsi="Calibri"/>
                <w:sz w:val="20"/>
                <w:szCs w:val="20"/>
              </w:rPr>
              <w:t xml:space="preserve">10 min</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Desde una perspectiva orientada a la fidelidad al modelo, se recomienda que la evaluación incluya al menos el EUIC, el GHQ-12 y una medida de calidad de vida percibida. El EuropASI queda reservado a programas con alta prevalencia de trastornos adictivos.</w:t>
      </w:r>
    </w:p>
    <w:p>
      <w:pPr>
        <w:pStyle w:val="Heading2"/>
        <w:shd w:fill="2E75B6" w:val="clear"/>
        <w:spacing w:after="120" w:before="200"/>
      </w:pPr>
      <w:r>
        <w:rPr>
          <w:rFonts w:ascii="Calibri" w:cs="Calibri" w:eastAsia="Calibri" w:hAnsi="Calibri"/>
          <w:b/>
          <w:bCs/>
          <w:color w:val="FFFFFF"/>
          <w:sz w:val="26"/>
          <w:szCs w:val="26"/>
        </w:rPr>
        <w:t xml:space="preserve">18.4 Análisis de Datos y Elaboración de Informes</w:t>
      </w:r>
    </w:p>
    <w:p>
      <w:pPr>
        <w:spacing w:after="100" w:before="100"/>
        <w:jc w:val="both"/>
      </w:pPr>
      <w:r>
        <w:rPr>
          <w:rFonts w:ascii="Calibri" w:cs="Calibri" w:eastAsia="Calibri" w:hAnsi="Calibri"/>
          <w:b w:val="false"/>
          <w:bCs w:val="false"/>
          <w:i w:val="false"/>
          <w:iCs w:val="false"/>
          <w:color w:val="000000"/>
          <w:sz w:val="22"/>
          <w:szCs w:val="22"/>
        </w:rPr>
        <w:t xml:space="preserve">El análisis de los datos recogidos debe producir información útil tanto para la mejora interna del programa como para la comunicación con financiadores y la comunidad científica. Se distinguen tres niveles de análisis:</w:t>
      </w:r>
    </w:p>
    <w:p>
      <w:pPr>
        <w:spacing w:after="120" w:before="120"/>
      </w:pPr>
      <w:r>
        <w:t xml:space="preserve"/>
      </w:r>
    </w:p>
    <w:p>
      <w:pPr>
        <w:pStyle w:val="ListParagraph"/>
        <w:numPr>
          <w:ilvl w:val="0"/>
          <w:numId w:val="2"/>
        </w:numPr>
        <w:spacing w:after="80" w:before="80"/>
        <w:ind w:left="360"/>
      </w:pPr>
      <w:r>
        <w:rPr>
          <w:rFonts w:ascii="Calibri" w:cs="Calibri" w:eastAsia="Calibri" w:hAnsi="Calibri"/>
          <w:sz w:val="22"/>
          <w:szCs w:val="22"/>
        </w:rPr>
        <w:t xml:space="preserve">Análisis descriptivo: frecuencias, medias, medidas de dispersión. Permite conocer el perfil de la población atendida y el estado del programa.</w:t>
      </w:r>
    </w:p>
    <w:p>
      <w:pPr>
        <w:pStyle w:val="ListParagraph"/>
        <w:numPr>
          <w:ilvl w:val="0"/>
          <w:numId w:val="2"/>
        </w:numPr>
        <w:spacing w:after="80" w:before="80"/>
        <w:ind w:left="360"/>
      </w:pPr>
      <w:r>
        <w:rPr>
          <w:rFonts w:ascii="Calibri" w:cs="Calibri" w:eastAsia="Calibri" w:hAnsi="Calibri"/>
          <w:sz w:val="22"/>
          <w:szCs w:val="22"/>
        </w:rPr>
        <w:t xml:space="preserve">Análisis de cambio individual: comparación de puntuaciones pre-post en instrumentos estandarizados para cada persona usuaria.</w:t>
      </w:r>
    </w:p>
    <w:p>
      <w:pPr>
        <w:pStyle w:val="ListParagraph"/>
        <w:numPr>
          <w:ilvl w:val="0"/>
          <w:numId w:val="2"/>
        </w:numPr>
        <w:spacing w:after="80" w:before="80"/>
        <w:ind w:left="360"/>
      </w:pPr>
      <w:r>
        <w:rPr>
          <w:rFonts w:ascii="Calibri" w:cs="Calibri" w:eastAsia="Calibri" w:hAnsi="Calibri"/>
          <w:sz w:val="22"/>
          <w:szCs w:val="22"/>
        </w:rPr>
        <w:t xml:space="preserve">Análisis de efectividad: comparación de indicadores clave (días en vivienda, urgencias, hospitalizaciones) antes y después del acceso al programa. Cuando existan datos suficientes, análisis de supervivencia (curvas de mantenimiento de vivienda).</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Los informes de seguimiento deben redactarse con lenguaje comprensible para distintas audiencias: profesionales, financiadores y personas usuarias. Se recomienda el uso de infografías y visualizaciones de datos para facilitar la comunicación.</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Estructura recomendada del informe anual de programa</w:t>
            </w:r>
          </w:p>
          <w:p>
            <w:pPr>
              <w:spacing w:after="60" w:before="60"/>
            </w:pPr>
            <w:r>
              <w:rPr>
                <w:rFonts w:ascii="Calibri" w:cs="Calibri" w:eastAsia="Calibri" w:hAnsi="Calibri"/>
                <w:sz w:val="22"/>
                <w:szCs w:val="22"/>
              </w:rPr>
              <w:t xml:space="preserve">1. Resumen ejecutivo (1 página): datos clave y principales hallazgos.</w:t>
            </w:r>
          </w:p>
          <w:p>
            <w:pPr>
              <w:spacing w:after="60" w:before="60"/>
            </w:pPr>
            <w:r>
              <w:rPr>
                <w:rFonts w:ascii="Calibri" w:cs="Calibri" w:eastAsia="Calibri" w:hAnsi="Calibri"/>
                <w:sz w:val="22"/>
                <w:szCs w:val="22"/>
              </w:rPr>
              <w:t xml:space="preserve">2. Descripción de la población atendida: perfil sociodemográfico y clínico.</w:t>
            </w:r>
          </w:p>
          <w:p>
            <w:pPr>
              <w:spacing w:after="60" w:before="60"/>
            </w:pPr>
            <w:r>
              <w:rPr>
                <w:rFonts w:ascii="Calibri" w:cs="Calibri" w:eastAsia="Calibri" w:hAnsi="Calibri"/>
                <w:sz w:val="22"/>
                <w:szCs w:val="22"/>
              </w:rPr>
              <w:t xml:space="preserve">3. Indicadores de proceso: ocupación, fidelidad, contactos, incidencias.</w:t>
            </w:r>
          </w:p>
          <w:p>
            <w:pPr>
              <w:spacing w:after="60" w:before="60"/>
            </w:pPr>
            <w:r>
              <w:rPr>
                <w:rFonts w:ascii="Calibri" w:cs="Calibri" w:eastAsia="Calibri" w:hAnsi="Calibri"/>
                <w:sz w:val="22"/>
                <w:szCs w:val="22"/>
              </w:rPr>
              <w:t xml:space="preserve">4. Indicadores de resultado: mantenimiento de vivienda, calidad de vida, salud, inclusión.</w:t>
            </w:r>
          </w:p>
          <w:p>
            <w:pPr>
              <w:spacing w:after="60" w:before="60"/>
            </w:pPr>
            <w:r>
              <w:rPr>
                <w:rFonts w:ascii="Calibri" w:cs="Calibri" w:eastAsia="Calibri" w:hAnsi="Calibri"/>
                <w:sz w:val="22"/>
                <w:szCs w:val="22"/>
              </w:rPr>
              <w:t xml:space="preserve">5. Análisis de casos relevantes (sin datos identificativos).</w:t>
            </w:r>
          </w:p>
          <w:p>
            <w:pPr>
              <w:spacing w:after="60" w:before="60"/>
            </w:pPr>
            <w:r>
              <w:rPr>
                <w:rFonts w:ascii="Calibri" w:cs="Calibri" w:eastAsia="Calibri" w:hAnsi="Calibri"/>
                <w:sz w:val="22"/>
                <w:szCs w:val="22"/>
              </w:rPr>
              <w:t xml:space="preserve">6. Dificultades encontradas y planes de mejora.</w:t>
            </w:r>
          </w:p>
          <w:p>
            <w:pPr>
              <w:spacing w:after="60" w:before="60"/>
            </w:pPr>
            <w:r>
              <w:rPr>
                <w:rFonts w:ascii="Calibri" w:cs="Calibri" w:eastAsia="Calibri" w:hAnsi="Calibri"/>
                <w:sz w:val="22"/>
                <w:szCs w:val="22"/>
              </w:rPr>
              <w:t xml:space="preserve">7. Perspectivas y objetivos para el próximo período.</w:t>
            </w:r>
          </w:p>
          <w:p>
            <w:pPr>
              <w:spacing w:after="60" w:before="60"/>
            </w:pPr>
            <w:r>
              <w:rPr>
                <w:rFonts w:ascii="Calibri" w:cs="Calibri" w:eastAsia="Calibri" w:hAnsi="Calibri"/>
                <w:sz w:val="22"/>
                <w:szCs w:val="22"/>
              </w:rPr>
              <w:t xml:space="preserve">8. Anexos: tablas completas de datos, instrumentos utilizados.</w:t>
            </w:r>
          </w:p>
        </w:tc>
      </w:tr>
    </w:tbl>
    <w:p>
      <w:pPr>
        <w:pStyle w:val="Heading2"/>
        <w:shd w:fill="2E75B6" w:val="clear"/>
        <w:spacing w:after="120" w:before="200"/>
      </w:pPr>
      <w:r>
        <w:rPr>
          <w:rFonts w:ascii="Calibri" w:cs="Calibri" w:eastAsia="Calibri" w:hAnsi="Calibri"/>
          <w:b/>
          <w:bCs/>
          <w:color w:val="FFFFFF"/>
          <w:sz w:val="26"/>
          <w:szCs w:val="26"/>
        </w:rPr>
        <w:t xml:space="preserve">18.5 Modelo de Informe de Seguimiento Individual</w:t>
      </w:r>
    </w:p>
    <w:p>
      <w:pPr>
        <w:spacing w:after="100" w:before="100"/>
        <w:jc w:val="both"/>
      </w:pPr>
      <w:r>
        <w:rPr>
          <w:rFonts w:ascii="Calibri" w:cs="Calibri" w:eastAsia="Calibri" w:hAnsi="Calibri"/>
          <w:b w:val="false"/>
          <w:bCs w:val="false"/>
          <w:i w:val="false"/>
          <w:iCs w:val="false"/>
          <w:color w:val="000000"/>
          <w:sz w:val="22"/>
          <w:szCs w:val="22"/>
        </w:rPr>
        <w:t xml:space="preserve">El informe de seguimiento individual documenta la evolución de la persona usuaria en un período determinado. Debe ser breve, orientado a resultados y redactado con lenguaje respetuoso. Se presenta a continuación una plantilla anonimizada: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9026"/>
            <w:gridSpan w:val="2"/>
            <w:shd w:fill="1F4E79" w:val="clear"/>
            <w:tcMar>
              <w:top w:type="dxa" w:w="80"/>
              <w:left w:type="dxa" w:w="120"/>
              <w:bottom w:type="dxa" w:w="80"/>
              <w:right w:type="dxa" w:w="120"/>
            </w:tcMar>
          </w:tcPr>
          <w:p>
            <w:pPr>
              <w:jc w:val="center"/>
            </w:pPr>
            <w:r>
              <w:rPr>
                <w:rFonts w:ascii="Calibri" w:cs="Calibri" w:eastAsia="Calibri" w:hAnsi="Calibri"/>
                <w:b/>
                <w:bCs/>
                <w:color w:val="FFFFFF"/>
                <w:sz w:val="22"/>
                <w:szCs w:val="22"/>
              </w:rPr>
              <w:t xml:space="preserve">INFORME DE SEGUIMIENTO INDIVIDUAL —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Código de identificación: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HF-[CÓDIGO] / Expediente: [NÚM]</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Período evaluado: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Del __ / __ / 20__ al __ / __ / 20__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Profesional de referencia: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[Cargo] / [Iniciales]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Fecha del informe:</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__ / 20__</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ALOJAMIENTO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Situación al inicio del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Situación al cierre del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Incidencias de vivienda: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Valoración: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Estable / Con dificultades / En riesgo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SALUD FÍSICA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Estado de salud general: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Seguimiento médico activo: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Especialidad: ___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Cambios relevantes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SALUD MENTAL</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Diagnóstico/s activos: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[Ver historia clínica — no detallar en este documento]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Psiquiatra de referencia: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Adherencia al tratamiento: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Alta / Media / Baja / Sin tratamiento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Cambios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ADICCIONES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Consumo activo: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Parcial — Sustancias: ___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Programa de reducción de daños: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Cambios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ECONÓMICA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Ingresos actuales: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Sin ingresos / Prestación / Trabajo / Combinado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Deudas pendientes: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Tipo: ___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Cambios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RELACIONES SOCIALES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Red de apoyo natural: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Ninguna / Escasa / Moderada / Sólida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Relaciones familiares: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Sin contacto / Conflictivas / Normalizadas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Cambios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DE INTEGRACIÓN COMUNITARIA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Actividades en la comunidad:</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Ninguna / Esporádica / Regular</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Participación en recursos normalizados: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Cuáles: ___</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ÁREA ADMINISTRATIVA/JURÍDICA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Documentación en vigor:</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Pendiente: ___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Situación legal: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Sin incidencias / Procedimientos abiertos: ___</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VALORACIÓN GLOBAL Y OBJETIVOS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Logros del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Dificultades identificadas: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Objetivos para el próximo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Próxima revisión de EUIC:</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__ / 20__</w:t>
            </w:r>
          </w:p>
        </w:tc>
      </w:tr>
    </w:tbl>
    <w:p>
      <w:pPr>
        <w:pStyle w:val="Heading2"/>
        <w:shd w:fill="2E75B6" w:val="clear"/>
        <w:spacing w:after="120" w:before="200"/>
      </w:pPr>
      <w:r>
        <w:rPr>
          <w:rFonts w:ascii="Calibri" w:cs="Calibri" w:eastAsia="Calibri" w:hAnsi="Calibri"/>
          <w:b/>
          <w:bCs/>
          <w:color w:val="FFFFFF"/>
          <w:sz w:val="26"/>
          <w:szCs w:val="26"/>
        </w:rPr>
        <w:t xml:space="preserve">18.6 Plantilla de Sistema de Indicadores del Programa</w:t>
      </w:r>
    </w:p>
    <w:p>
      <w:pPr>
        <w:spacing w:after="100" w:before="100"/>
        <w:jc w:val="both"/>
      </w:pPr>
      <w:r>
        <w:rPr>
          <w:rFonts w:ascii="Calibri" w:cs="Calibri" w:eastAsia="Calibri" w:hAnsi="Calibri"/>
          <w:b w:val="false"/>
          <w:bCs w:val="false"/>
          <w:i w:val="false"/>
          <w:iCs w:val="false"/>
          <w:color w:val="000000"/>
          <w:sz w:val="22"/>
          <w:szCs w:val="22"/>
        </w:rPr>
        <w:t xml:space="preserve">Se presenta a continuación una plantilla de cuadro de mando para el seguimiento periódico del programa. Debe ser cumplimentada con datos agregados (nunca identificativos) de forma trimestral o semestral:</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9026"/>
            <w:gridSpan w:val="2"/>
            <w:shd w:fill="1F4E79" w:val="clear"/>
            <w:tcMar>
              <w:top w:type="dxa" w:w="80"/>
              <w:left w:type="dxa" w:w="120"/>
              <w:bottom w:type="dxa" w:w="80"/>
              <w:right w:type="dxa" w:w="120"/>
            </w:tcMar>
          </w:tcPr>
          <w:p>
            <w:pPr>
              <w:jc w:val="center"/>
            </w:pPr>
            <w:r>
              <w:rPr>
                <w:rFonts w:ascii="Calibri" w:cs="Calibri" w:eastAsia="Calibri" w:hAnsi="Calibri"/>
                <w:b/>
                <w:bCs/>
                <w:color w:val="FFFFFF"/>
                <w:sz w:val="22"/>
                <w:szCs w:val="22"/>
              </w:rPr>
              <w:t xml:space="preserve">CUADRO DE MANDO — PROGRAMA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Trimestre __ / Año 20__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Elaborado por:</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[Cargo coordinación]</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INDICADORES DE OCUPACIÓN Y ACCESO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Plazas totales del programa: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Plazas ocupadas (fin de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Tasa de ocupación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Nuevos ingresos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Bajas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Bajas planificadas (salida autónoma):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Bajas no planificadas (abandono):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Tiempo medio de espera (días):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INDICADORES DE MANTENIMIENTO DE VIVIENDA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que mantienen vivienda a 6 meses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que mantienen vivienda a 12 meses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que mantienen vivienda a 24 meses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Incidentes de vivienda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INDICADORES DE SALUD</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Hospitalizaciones psiquiátricas (total días):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Ingresos en urgencias hospitalarias: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con seguimiento psiquiátrico activo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INDICADORES SOCIALES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con ingresos propios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con documentación en vigor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Personas participando en actividades comunitarias (%):</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INDICADORES DE PROCESO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Media de visitas domiciliarias/persona/mes: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Puntuación de fidelidad (escala HF-Fidelity):</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Satisfacción de personas usuarias (0-10):</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Rotación de personal (bajas en el período):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bl>
    <w:p>
      <w:pPr>
        <w:pStyle w:val="Heading1"/>
        <w:pageBreakBefore/>
        <w:shd w:fill="1F4E79" w:val="clear"/>
        <w:spacing w:after="200" w:before="240"/>
      </w:pPr>
      <w:r>
        <w:rPr>
          <w:rFonts w:ascii="Calibri" w:cs="Calibri" w:eastAsia="Calibri" w:hAnsi="Calibri"/>
          <w:b/>
          <w:bCs/>
          <w:color w:val="FFFFFF"/>
          <w:sz w:val="32"/>
          <w:szCs w:val="32"/>
        </w:rPr>
        <w:t xml:space="preserve">MÓDULO 19: COORDINACIÓN INTERINSTITUCIONAL Y TRABAJO EN RED</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Objetivo del módulo</w:t>
            </w:r>
          </w:p>
          <w:p>
            <w:pPr>
              <w:spacing w:after="60" w:before="60"/>
            </w:pPr>
            <w:r>
              <w:rPr>
                <w:rFonts w:ascii="Calibri" w:cs="Calibri" w:eastAsia="Calibri" w:hAnsi="Calibri"/>
                <w:sz w:val="22"/>
                <w:szCs w:val="22"/>
              </w:rPr>
              <w:t xml:space="preserve">Capacitar al profesional para establecer y mantener relaciones de coordinación efectivas con los distintos sistemas e instituciones que participan en la atención a personas en situación de sin hogar: salud mental, adicciones, servicios sociales, justicia, sistema inmobiliario y otros recursos comunitarios.</w:t>
            </w:r>
          </w:p>
        </w:tc>
      </w:tr>
    </w:tbl>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19.1 El Ecosistema de Recursos en la Intervención con Personas Sin Hogar</w:t>
      </w:r>
    </w:p>
    <w:p>
      <w:pPr>
        <w:spacing w:after="100" w:before="100"/>
        <w:jc w:val="both"/>
      </w:pPr>
      <w:r>
        <w:rPr>
          <w:rFonts w:ascii="Calibri" w:cs="Calibri" w:eastAsia="Calibri" w:hAnsi="Calibri"/>
          <w:b w:val="false"/>
          <w:bCs w:val="false"/>
          <w:i w:val="false"/>
          <w:iCs w:val="false"/>
          <w:color w:val="000000"/>
          <w:sz w:val="22"/>
          <w:szCs w:val="22"/>
        </w:rPr>
        <w:t xml:space="preserve">Los programas Housing First no actúan en el vacío. La persona usuaria tiene necesidades complejas que ningún programa puede atender en solitario. El/la profesional de Housing First actúa como gestor de caso (case manager) que coordina el acceso a un ecosistema de recursos especializados.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15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Sistema</w:t>
            </w:r>
          </w:p>
        </w:tc>
        <w:tc>
          <w:tcPr>
            <w:tcW w:type="dxa" w:w="4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Recursos clave</w:t>
            </w:r>
          </w:p>
        </w:tc>
        <w:tc>
          <w:tcPr>
            <w:tcW w:type="dxa" w:w="35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Tipo de coordinación</w:t>
            </w:r>
          </w:p>
        </w:tc>
      </w:tr>
      <w:tr>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Salud mental</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CSMA/USM, UHB, recursos intermedios (CRIS, clubs sociales), equipos de salud mental comunitaria</w:t>
            </w:r>
          </w:p>
        </w:tc>
        <w:tc>
          <w:tcPr>
            <w:tcW w:type="dxa" w:w="3526"/>
            <w:shd w:fill="F2F2F2" w:val="clear"/>
            <w:tcMar>
              <w:top w:type="dxa" w:w="60"/>
              <w:left w:type="dxa" w:w="100"/>
              <w:bottom w:type="dxa" w:w="60"/>
              <w:right w:type="dxa" w:w="100"/>
            </w:tcMar>
          </w:tcPr>
          <w:p>
            <w:r>
              <w:rPr>
                <w:rFonts w:ascii="Calibri" w:cs="Calibri" w:eastAsia="Calibri" w:hAnsi="Calibri"/>
                <w:sz w:val="20"/>
                <w:szCs w:val="20"/>
              </w:rPr>
              <w:t xml:space="preserve">Derivación, seguimiento conjunto, reuniones de caso</w:t>
            </w:r>
          </w:p>
        </w:tc>
      </w:tr>
      <w:tr>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Adicciones</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CAS/CAD, comunidades terapéuticas, unidades de desintoxicación, programas de mantenimiento con metadona</w:t>
            </w:r>
          </w:p>
        </w:tc>
        <w:tc>
          <w:tcPr>
            <w:tcW w:type="dxa" w:w="3526"/>
            <w:shd w:fill="FFFFFF" w:val="clear"/>
            <w:tcMar>
              <w:top w:type="dxa" w:w="60"/>
              <w:left w:type="dxa" w:w="100"/>
              <w:bottom w:type="dxa" w:w="60"/>
              <w:right w:type="dxa" w:w="100"/>
            </w:tcMar>
          </w:tcPr>
          <w:p>
            <w:r>
              <w:rPr>
                <w:rFonts w:ascii="Calibri" w:cs="Calibri" w:eastAsia="Calibri" w:hAnsi="Calibri"/>
                <w:sz w:val="20"/>
                <w:szCs w:val="20"/>
              </w:rPr>
              <w:t xml:space="preserve">Derivación, coordinación de tratamiento paralelo</w:t>
            </w:r>
          </w:p>
        </w:tc>
      </w:tr>
      <w:tr>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Servicios sociales</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Equipos básicos de atención social (EBAS/UTS), servicios de atención a personas sin hogar (SAPES/SAH), CAPI, CAD</w:t>
            </w:r>
          </w:p>
        </w:tc>
        <w:tc>
          <w:tcPr>
            <w:tcW w:type="dxa" w:w="3526"/>
            <w:shd w:fill="F2F2F2" w:val="clear"/>
            <w:tcMar>
              <w:top w:type="dxa" w:w="60"/>
              <w:left w:type="dxa" w:w="100"/>
              <w:bottom w:type="dxa" w:w="60"/>
              <w:right w:type="dxa" w:w="100"/>
            </w:tcMar>
          </w:tcPr>
          <w:p>
            <w:r>
              <w:rPr>
                <w:rFonts w:ascii="Calibri" w:cs="Calibri" w:eastAsia="Calibri" w:hAnsi="Calibri"/>
                <w:sz w:val="20"/>
                <w:szCs w:val="20"/>
              </w:rPr>
              <w:t xml:space="preserve">Coordinación de prestaciones, derivaciones, acceso a ayudas</w:t>
            </w:r>
          </w:p>
        </w:tc>
      </w:tr>
      <w:tr>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Sistema sanitario general</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Atención primaria (CAP/CS), urgencias, hospitales</w:t>
            </w:r>
          </w:p>
        </w:tc>
        <w:tc>
          <w:tcPr>
            <w:tcW w:type="dxa" w:w="3526"/>
            <w:shd w:fill="FFFFFF" w:val="clear"/>
            <w:tcMar>
              <w:top w:type="dxa" w:w="60"/>
              <w:left w:type="dxa" w:w="100"/>
              <w:bottom w:type="dxa" w:w="60"/>
              <w:right w:type="dxa" w:w="100"/>
            </w:tcMar>
          </w:tcPr>
          <w:p>
            <w:r>
              <w:rPr>
                <w:rFonts w:ascii="Calibri" w:cs="Calibri" w:eastAsia="Calibri" w:hAnsi="Calibri"/>
                <w:sz w:val="20"/>
                <w:szCs w:val="20"/>
              </w:rPr>
              <w:t xml:space="preserve">Vinculación a médico de cabecera, coordinación de citas</w:t>
            </w:r>
          </w:p>
        </w:tc>
      </w:tr>
      <w:tr>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Sistema judicial/penitenciario</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Juzgados (art. 763 LEC), fiscalía, servicios de reinserción, penas alternativas</w:t>
            </w:r>
          </w:p>
        </w:tc>
        <w:tc>
          <w:tcPr>
            <w:tcW w:type="dxa" w:w="3526"/>
            <w:shd w:fill="F2F2F2" w:val="clear"/>
            <w:tcMar>
              <w:top w:type="dxa" w:w="60"/>
              <w:left w:type="dxa" w:w="100"/>
              <w:bottom w:type="dxa" w:w="60"/>
              <w:right w:type="dxa" w:w="100"/>
            </w:tcMar>
          </w:tcPr>
          <w:p>
            <w:r>
              <w:rPr>
                <w:rFonts w:ascii="Calibri" w:cs="Calibri" w:eastAsia="Calibri" w:hAnsi="Calibri"/>
                <w:sz w:val="20"/>
                <w:szCs w:val="20"/>
              </w:rPr>
              <w:t xml:space="preserve">Informes, comparecencias, coordinación post-penitenciaria</w:t>
            </w:r>
          </w:p>
        </w:tc>
      </w:tr>
      <w:tr>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Sistema de garantía de rentas</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SEPE, Servicios Sociales (IMV, RGC), Seguridad Social</w:t>
            </w:r>
          </w:p>
        </w:tc>
        <w:tc>
          <w:tcPr>
            <w:tcW w:type="dxa" w:w="3526"/>
            <w:shd w:fill="FFFFFF" w:val="clear"/>
            <w:tcMar>
              <w:top w:type="dxa" w:w="60"/>
              <w:left w:type="dxa" w:w="100"/>
              <w:bottom w:type="dxa" w:w="60"/>
              <w:right w:type="dxa" w:w="100"/>
            </w:tcMar>
          </w:tcPr>
          <w:p>
            <w:r>
              <w:rPr>
                <w:rFonts w:ascii="Calibri" w:cs="Calibri" w:eastAsia="Calibri" w:hAnsi="Calibri"/>
                <w:sz w:val="20"/>
                <w:szCs w:val="20"/>
              </w:rPr>
              <w:t xml:space="preserve">Tramitación de prestaciones, documentación</w:t>
            </w:r>
          </w:p>
        </w:tc>
      </w:tr>
      <w:tr>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Mercado inmobiliario</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Propietarios particulares, inmobiliarias, administración de fincas, OCE/bolsas de alquiler</w:t>
            </w:r>
          </w:p>
        </w:tc>
        <w:tc>
          <w:tcPr>
            <w:tcW w:type="dxa" w:w="3526"/>
            <w:shd w:fill="F2F2F2" w:val="clear"/>
            <w:tcMar>
              <w:top w:type="dxa" w:w="60"/>
              <w:left w:type="dxa" w:w="100"/>
              <w:bottom w:type="dxa" w:w="60"/>
              <w:right w:type="dxa" w:w="100"/>
            </w:tcMar>
          </w:tcPr>
          <w:p>
            <w:r>
              <w:rPr>
                <w:rFonts w:ascii="Calibri" w:cs="Calibri" w:eastAsia="Calibri" w:hAnsi="Calibri"/>
                <w:sz w:val="20"/>
                <w:szCs w:val="20"/>
              </w:rPr>
              <w:t xml:space="preserve">Captación de pisos, gestión de contratos, mediación</w:t>
            </w:r>
          </w:p>
        </w:tc>
      </w:tr>
      <w:tr>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Recursos comunitarios</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Asociaciones de vecinos, grupos de autoayuda, centros cívicos, recursos de ocio y cultura</w:t>
            </w:r>
          </w:p>
        </w:tc>
        <w:tc>
          <w:tcPr>
            <w:tcW w:type="dxa" w:w="3526"/>
            <w:shd w:fill="FFFFFF" w:val="clear"/>
            <w:tcMar>
              <w:top w:type="dxa" w:w="60"/>
              <w:left w:type="dxa" w:w="100"/>
              <w:bottom w:type="dxa" w:w="60"/>
              <w:right w:type="dxa" w:w="100"/>
            </w:tcMar>
          </w:tcPr>
          <w:p>
            <w:r>
              <w:rPr>
                <w:rFonts w:ascii="Calibri" w:cs="Calibri" w:eastAsia="Calibri" w:hAnsi="Calibri"/>
                <w:sz w:val="20"/>
                <w:szCs w:val="20"/>
              </w:rPr>
              <w:t xml:space="preserve">Derivación, acompañamiento a actividades</w:t>
            </w:r>
          </w:p>
        </w:tc>
      </w:tr>
    </w:tbl>
    <w:p>
      <w:pPr>
        <w:pStyle w:val="Heading2"/>
        <w:shd w:fill="2E75B6" w:val="clear"/>
        <w:spacing w:after="120" w:before="200"/>
      </w:pPr>
      <w:r>
        <w:rPr>
          <w:rFonts w:ascii="Calibri" w:cs="Calibri" w:eastAsia="Calibri" w:hAnsi="Calibri"/>
          <w:b/>
          <w:bCs/>
          <w:color w:val="FFFFFF"/>
          <w:sz w:val="26"/>
          <w:szCs w:val="26"/>
        </w:rPr>
        <w:t xml:space="preserve">19.2 Coordinación con Servicios de Salud Mental y Adicciones</w:t>
      </w:r>
    </w:p>
    <w:p>
      <w:pPr>
        <w:spacing w:after="100" w:before="100"/>
        <w:jc w:val="both"/>
      </w:pPr>
      <w:r>
        <w:rPr>
          <w:rFonts w:ascii="Calibri" w:cs="Calibri" w:eastAsia="Calibri" w:hAnsi="Calibri"/>
          <w:b w:val="false"/>
          <w:bCs w:val="false"/>
          <w:i w:val="false"/>
          <w:iCs w:val="false"/>
          <w:color w:val="000000"/>
          <w:sz w:val="22"/>
          <w:szCs w:val="22"/>
        </w:rPr>
        <w:t xml:space="preserve">La coordinación con los equipos de salud mental es, en la mayoría de los casos, la más frecuente e intensa. Muchas personas usuarias de Housing First tienen diagnósticos de trastorno mental grave (TMG) y necesitan un seguimiento psiquiátrico continuo paralelo a la intervención psicosocial del programa.</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E6B3C" w:sz="4"/>
              <w:left w:val="single" w:color="1E6B3C" w:sz="12"/>
              <w:bottom w:val="single" w:color="1E6B3C" w:sz="4"/>
              <w:right w:val="none"/>
            </w:tcBorders>
            <w:shd w:fill="D5EFDC" w:val="clear"/>
            <w:tcMar>
              <w:top w:type="dxa" w:w="100"/>
              <w:left w:type="dxa" w:w="150"/>
              <w:bottom w:type="dxa" w:w="100"/>
              <w:right w:type="dxa" w:w="150"/>
            </w:tcMar>
          </w:tcPr>
          <w:p>
            <w:pPr>
              <w:spacing w:after="80" w:before="80"/>
            </w:pPr>
            <w:r>
              <w:rPr>
                <w:rFonts w:ascii="Calibri" w:cs="Calibri" w:eastAsia="Calibri" w:hAnsi="Calibri"/>
                <w:b/>
                <w:bCs/>
                <w:color w:val="1E6B3C"/>
                <w:sz w:val="24"/>
                <w:szCs w:val="24"/>
              </w:rPr>
              <w:t xml:space="preserve">Principios de la coordinación con salud mental</w:t>
            </w:r>
          </w:p>
          <w:p>
            <w:pPr>
              <w:spacing w:after="60" w:before="60"/>
            </w:pPr>
            <w:r>
              <w:rPr>
                <w:rFonts w:ascii="Calibri" w:cs="Calibri" w:eastAsia="Calibri" w:hAnsi="Calibri"/>
                <w:sz w:val="22"/>
                <w:szCs w:val="22"/>
              </w:rPr>
              <w:t xml:space="preserve">1. Evitar la doble intervención no coordinada: profesionales de Housing First y profesionales de salud mental deben conocer los objetivos del otro sistema y evitar mensajes contradictorios.</w:t>
            </w:r>
          </w:p>
          <w:p>
            <w:pPr>
              <w:spacing w:after="60" w:before="60"/>
            </w:pPr>
            <w:r>
              <w:rPr>
                <w:rFonts w:ascii="Calibri" w:cs="Calibri" w:eastAsia="Calibri" w:hAnsi="Calibri"/>
                <w:sz w:val="22"/>
                <w:szCs w:val="22"/>
              </w:rPr>
              <w:t xml:space="preserve">2. Reuniones de caso periódicas: al menos trimestrales para personas con TMG activo. La asistencia de ambos sistemas es imprescindible.</w:t>
            </w:r>
          </w:p>
          <w:p>
            <w:pPr>
              <w:spacing w:after="60" w:before="60"/>
            </w:pPr>
            <w:r>
              <w:rPr>
                <w:rFonts w:ascii="Calibri" w:cs="Calibri" w:eastAsia="Calibri" w:hAnsi="Calibri"/>
                <w:sz w:val="22"/>
                <w:szCs w:val="22"/>
              </w:rPr>
              <w:t xml:space="preserve">3. Acuerdos escritos: los protocolos de derivación y coordinación deben estar formalizados y firmados por los responsables de cada servicio.</w:t>
            </w:r>
          </w:p>
          <w:p>
            <w:pPr>
              <w:spacing w:after="60" w:before="60"/>
            </w:pPr>
            <w:r>
              <w:rPr>
                <w:rFonts w:ascii="Calibri" w:cs="Calibri" w:eastAsia="Calibri" w:hAnsi="Calibri"/>
                <w:sz w:val="22"/>
                <w:szCs w:val="22"/>
              </w:rPr>
              <w:t xml:space="preserve">4. Confidencialidad: no se comparte información clínica sin consentimiento explícito de la persona. Se trabaja con información de coordinación (objetivos, acciones, roles), no diagnóstica.</w:t>
            </w:r>
          </w:p>
          <w:p>
            <w:pPr>
              <w:spacing w:after="60" w:before="60"/>
            </w:pPr>
            <w:r>
              <w:rPr>
                <w:rFonts w:ascii="Calibri" w:cs="Calibri" w:eastAsia="Calibri" w:hAnsi="Calibri"/>
                <w:sz w:val="22"/>
                <w:szCs w:val="22"/>
              </w:rPr>
              <w:t xml:space="preserve">5. Jerarquía de urgencia: ante crisis agudas, el servicio de urgencias psiquiátricas tiene prioridad. El profesional de Housing First apoya la gestión post-crisis.</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La coordinación con servicios de adicciones sigue principios similares, con especial atención a la no exigencia de abstinencia (coherente con el modelo HF) y a los espacios de tratamiento voluntario. Es importante que los servicios de adicciones conozcan la filosofía de Housing First para evitar que se niegue tratamiento por la situación de consumo activo del usuario.</w:t>
      </w:r>
    </w:p>
    <w:p>
      <w:pPr>
        <w:pStyle w:val="Heading2"/>
        <w:shd w:fill="2E75B6" w:val="clear"/>
        <w:spacing w:after="120" w:before="200"/>
      </w:pPr>
      <w:r>
        <w:rPr>
          <w:rFonts w:ascii="Calibri" w:cs="Calibri" w:eastAsia="Calibri" w:hAnsi="Calibri"/>
          <w:b/>
          <w:bCs/>
          <w:color w:val="FFFFFF"/>
          <w:sz w:val="26"/>
          <w:szCs w:val="26"/>
        </w:rPr>
        <w:t xml:space="preserve">19.3 Coordinación con Servicios Sociales Municipales</w:t>
      </w:r>
    </w:p>
    <w:p>
      <w:pPr>
        <w:spacing w:after="100" w:before="100"/>
        <w:jc w:val="both"/>
      </w:pPr>
      <w:r>
        <w:rPr>
          <w:rFonts w:ascii="Calibri" w:cs="Calibri" w:eastAsia="Calibri" w:hAnsi="Calibri"/>
          <w:b w:val="false"/>
          <w:bCs w:val="false"/>
          <w:i w:val="false"/>
          <w:iCs w:val="false"/>
          <w:color w:val="000000"/>
          <w:sz w:val="22"/>
          <w:szCs w:val="22"/>
        </w:rPr>
        <w:t xml:space="preserve">Los servicios sociales municipales son un actor clave tanto para la derivación al programa Housing First como para la coordinación continua durante la intervención. En muchos casos, los programas HF están financiados o co-gestionados por administraciones locales.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Los puntos críticos de coordinación con servicios sociales municipales son:</w:t>
      </w:r>
    </w:p>
    <w:p>
      <w:pPr>
        <w:pStyle w:val="ListParagraph"/>
        <w:numPr>
          <w:ilvl w:val="0"/>
          <w:numId w:val="3"/>
        </w:numPr>
        <w:spacing w:after="80" w:before="80"/>
        <w:ind w:left="360"/>
      </w:pPr>
      <w:r>
        <w:rPr>
          <w:rFonts w:ascii="Calibri" w:cs="Calibri" w:eastAsia="Calibri" w:hAnsi="Calibri"/>
          <w:sz w:val="22"/>
          <w:szCs w:val="22"/>
        </w:rPr>
        <w:t xml:space="preserve">Acceso a prestaciones económicas: Ingreso Mínimo Vital (IMV), Renta Garantizada de Ciudadanía (u equivalente autonómico), ayudas de emergencia social.</w:t>
      </w:r>
    </w:p>
    <w:p>
      <w:pPr>
        <w:pStyle w:val="ListParagraph"/>
        <w:numPr>
          <w:ilvl w:val="0"/>
          <w:numId w:val="3"/>
        </w:numPr>
        <w:spacing w:after="80" w:before="80"/>
        <w:ind w:left="360"/>
      </w:pPr>
      <w:r>
        <w:rPr>
          <w:rFonts w:ascii="Calibri" w:cs="Calibri" w:eastAsia="Calibri" w:hAnsi="Calibri"/>
          <w:sz w:val="22"/>
          <w:szCs w:val="22"/>
        </w:rPr>
        <w:t xml:space="preserve">Coordinación en la gestión del alquiler: en algunos territorios los servicios sociales gestionan fondos para depósitos o avales que el programa puede utilizar.</w:t>
      </w:r>
    </w:p>
    <w:p>
      <w:pPr>
        <w:pStyle w:val="ListParagraph"/>
        <w:numPr>
          <w:ilvl w:val="0"/>
          <w:numId w:val="3"/>
        </w:numPr>
        <w:spacing w:after="80" w:before="80"/>
        <w:ind w:left="360"/>
      </w:pPr>
      <w:r>
        <w:rPr>
          <w:rFonts w:ascii="Calibri" w:cs="Calibri" w:eastAsia="Calibri" w:hAnsi="Calibri"/>
          <w:sz w:val="22"/>
          <w:szCs w:val="22"/>
        </w:rPr>
        <w:t xml:space="preserve">Trabajo familiar: cuando existe familia de referencia, la coordinación con los equipos de atención familiar es esencial para evitar duplicidades.</w:t>
      </w:r>
    </w:p>
    <w:p>
      <w:pPr>
        <w:pStyle w:val="ListParagraph"/>
        <w:numPr>
          <w:ilvl w:val="0"/>
          <w:numId w:val="3"/>
        </w:numPr>
        <w:spacing w:after="80" w:before="80"/>
        <w:ind w:left="360"/>
      </w:pPr>
      <w:r>
        <w:rPr>
          <w:rFonts w:ascii="Calibri" w:cs="Calibri" w:eastAsia="Calibri" w:hAnsi="Calibri"/>
          <w:sz w:val="22"/>
          <w:szCs w:val="22"/>
        </w:rPr>
        <w:t xml:space="preserve">Registro de personas sin hogar: el acceso al Sistema de Información de Usuarios de Servicios Sociales (SIUSS) u equivalente territorial permite conocer el historial de intervención y evitar duplicidades.</w:t>
      </w:r>
    </w:p>
    <w:p>
      <w:pPr>
        <w:pStyle w:val="ListParagraph"/>
        <w:numPr>
          <w:ilvl w:val="0"/>
          <w:numId w:val="3"/>
        </w:numPr>
        <w:spacing w:after="80" w:before="80"/>
        <w:ind w:left="360"/>
      </w:pPr>
      <w:r>
        <w:rPr>
          <w:rFonts w:ascii="Calibri" w:cs="Calibri" w:eastAsia="Calibri" w:hAnsi="Calibri"/>
          <w:sz w:val="22"/>
          <w:szCs w:val="22"/>
        </w:rPr>
        <w:t xml:space="preserve">Comisiones de seguimiento: es recomendable participar en las comisiones de coordinación municipales sobre personas sin hogar (cuando existan).</w:t>
      </w:r>
    </w:p>
    <w:p>
      <w:pPr>
        <w:pStyle w:val="Heading2"/>
        <w:shd w:fill="2E75B6" w:val="clear"/>
        <w:spacing w:after="120" w:before="200"/>
      </w:pPr>
      <w:r>
        <w:rPr>
          <w:rFonts w:ascii="Calibri" w:cs="Calibri" w:eastAsia="Calibri" w:hAnsi="Calibri"/>
          <w:b/>
          <w:bCs/>
          <w:color w:val="FFFFFF"/>
          <w:sz w:val="26"/>
          <w:szCs w:val="26"/>
        </w:rPr>
        <w:t xml:space="preserve">19.4 Coordinación con el Sistema Judicial y de Tutela</w:t>
      </w:r>
    </w:p>
    <w:p>
      <w:pPr>
        <w:spacing w:after="100" w:before="100"/>
        <w:jc w:val="both"/>
      </w:pPr>
      <w:r>
        <w:rPr>
          <w:rFonts w:ascii="Calibri" w:cs="Calibri" w:eastAsia="Calibri" w:hAnsi="Calibri"/>
          <w:b w:val="false"/>
          <w:bCs w:val="false"/>
          <w:i w:val="false"/>
          <w:iCs w:val="false"/>
          <w:color w:val="000000"/>
          <w:sz w:val="22"/>
          <w:szCs w:val="22"/>
        </w:rPr>
        <w:t xml:space="preserve">Algunas personas usuarias de programas Housing First tienen procedimientos judiciales abiertos: desde causas penales pendientes hasta medidas de internamiento no voluntario (art. 763 LEC) o procesos de tutela/curatela. La coordinación con estos sistemas requiere conocimientos jurídicos básicos y el apoyo de asesores legales cuando sea necesario.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Situación</w:t>
            </w:r>
          </w:p>
        </w:tc>
        <w:tc>
          <w:tcPr>
            <w:tcW w:type="dxa" w:w="3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Recurso judicial</w:t>
            </w:r>
          </w:p>
        </w:tc>
        <w:tc>
          <w:tcPr>
            <w:tcW w:type="dxa" w:w="38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Papel del profesional HF</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Internamiento no voluntario (urgente)</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Art. 763 LEC — Juez de guardia</w:t>
            </w:r>
          </w:p>
        </w:tc>
        <w:tc>
          <w:tcPr>
            <w:tcW w:type="dxa" w:w="3826"/>
            <w:shd w:fill="F2F2F2" w:val="clear"/>
            <w:tcMar>
              <w:top w:type="dxa" w:w="60"/>
              <w:left w:type="dxa" w:w="100"/>
              <w:bottom w:type="dxa" w:w="60"/>
              <w:right w:type="dxa" w:w="100"/>
            </w:tcMar>
          </w:tcPr>
          <w:p>
            <w:r>
              <w:rPr>
                <w:rFonts w:ascii="Calibri" w:cs="Calibri" w:eastAsia="Calibri" w:hAnsi="Calibri"/>
                <w:sz w:val="20"/>
                <w:szCs w:val="20"/>
              </w:rPr>
              <w:t xml:space="preserve">Informar, acompañar, coordinar con psiquiatría, hacer seguimiento post-alta</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Tutela o curatela</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Juzgado de familia/civil, fiscal de incapacidades</w:t>
            </w:r>
          </w:p>
        </w:tc>
        <w:tc>
          <w:tcPr>
            <w:tcW w:type="dxa" w:w="3826"/>
            <w:shd w:fill="FFFFFF" w:val="clear"/>
            <w:tcMar>
              <w:top w:type="dxa" w:w="60"/>
              <w:left w:type="dxa" w:w="100"/>
              <w:bottom w:type="dxa" w:w="60"/>
              <w:right w:type="dxa" w:w="100"/>
            </w:tcMar>
          </w:tcPr>
          <w:p>
            <w:r>
              <w:rPr>
                <w:rFonts w:ascii="Calibri" w:cs="Calibri" w:eastAsia="Calibri" w:hAnsi="Calibri"/>
                <w:sz w:val="20"/>
                <w:szCs w:val="20"/>
              </w:rPr>
              <w:t xml:space="preserve">Aportar informes de situación; coordinación con tutor/curador</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Causa penal pendiente</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Juzgado competente, servicios jurídicos penitenciarios</w:t>
            </w:r>
          </w:p>
        </w:tc>
        <w:tc>
          <w:tcPr>
            <w:tcW w:type="dxa" w:w="3826"/>
            <w:shd w:fill="F2F2F2" w:val="clear"/>
            <w:tcMar>
              <w:top w:type="dxa" w:w="60"/>
              <w:left w:type="dxa" w:w="100"/>
              <w:bottom w:type="dxa" w:w="60"/>
              <w:right w:type="dxa" w:w="100"/>
            </w:tcMar>
          </w:tcPr>
          <w:p>
            <w:r>
              <w:rPr>
                <w:rFonts w:ascii="Calibri" w:cs="Calibri" w:eastAsia="Calibri" w:hAnsi="Calibri"/>
                <w:sz w:val="20"/>
                <w:szCs w:val="20"/>
              </w:rPr>
              <w:t xml:space="preserve">No intervenir en la causa; apoyar la vinculación con abogado/a de oficio</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Medidas alternativas a prisión</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Servicio de penas alternativas</w:t>
            </w:r>
          </w:p>
        </w:tc>
        <w:tc>
          <w:tcPr>
            <w:tcW w:type="dxa" w:w="3826"/>
            <w:shd w:fill="FFFFFF" w:val="clear"/>
            <w:tcMar>
              <w:top w:type="dxa" w:w="60"/>
              <w:left w:type="dxa" w:w="100"/>
              <w:bottom w:type="dxa" w:w="60"/>
              <w:right w:type="dxa" w:w="100"/>
            </w:tcMar>
          </w:tcPr>
          <w:p>
            <w:r>
              <w:rPr>
                <w:rFonts w:ascii="Calibri" w:cs="Calibri" w:eastAsia="Calibri" w:hAnsi="Calibri"/>
                <w:sz w:val="20"/>
                <w:szCs w:val="20"/>
              </w:rPr>
              <w:t xml:space="preserve">Coordinación para seguimiento; certif. de participación en programa</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Permisos penitenciarios / libertad condicional</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Junta de tratamiento penitenciario, Juzgado de Vigilancia</w:t>
            </w:r>
          </w:p>
        </w:tc>
        <w:tc>
          <w:tcPr>
            <w:tcW w:type="dxa" w:w="3826"/>
            <w:shd w:fill="F2F2F2" w:val="clear"/>
            <w:tcMar>
              <w:top w:type="dxa" w:w="60"/>
              <w:left w:type="dxa" w:w="100"/>
              <w:bottom w:type="dxa" w:w="60"/>
              <w:right w:type="dxa" w:w="100"/>
            </w:tcMar>
          </w:tcPr>
          <w:p>
            <w:r>
              <w:rPr>
                <w:rFonts w:ascii="Calibri" w:cs="Calibri" w:eastAsia="Calibri" w:hAnsi="Calibri"/>
                <w:sz w:val="20"/>
                <w:szCs w:val="20"/>
              </w:rPr>
              <w:t xml:space="preserve">Informe de acogida y de evolución en el programa HF</w:t>
            </w:r>
          </w:p>
        </w:tc>
      </w:tr>
    </w:tbl>
    <w:p>
      <w:pPr>
        <w:pStyle w:val="Heading2"/>
        <w:shd w:fill="2E75B6" w:val="clear"/>
        <w:spacing w:after="120" w:before="200"/>
      </w:pPr>
      <w:r>
        <w:rPr>
          <w:rFonts w:ascii="Calibri" w:cs="Calibri" w:eastAsia="Calibri" w:hAnsi="Calibri"/>
          <w:b/>
          <w:bCs/>
          <w:color w:val="FFFFFF"/>
          <w:sz w:val="26"/>
          <w:szCs w:val="26"/>
        </w:rPr>
        <w:t xml:space="preserve">19.5 Relación con Propietarios y Agentes Inmobiliarios</w:t>
      </w:r>
    </w:p>
    <w:p>
      <w:pPr>
        <w:spacing w:after="100" w:before="100"/>
        <w:jc w:val="both"/>
      </w:pPr>
      <w:r>
        <w:rPr>
          <w:rFonts w:ascii="Calibri" w:cs="Calibri" w:eastAsia="Calibri" w:hAnsi="Calibri"/>
          <w:b w:val="false"/>
          <w:bCs w:val="false"/>
          <w:i w:val="false"/>
          <w:iCs w:val="false"/>
          <w:color w:val="000000"/>
          <w:sz w:val="22"/>
          <w:szCs w:val="22"/>
        </w:rPr>
        <w:t xml:space="preserve">La captación y mantenimiento de pisos en el mercado privado es uno de los mayores retos operativos de los programas Housing First en el contexto español. La relación con propietarios requiere una estrategia específica de comunicación, generación de confianza y resolución de conflictos.</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CE4D6"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Estrategia de captación y fidelización de propietarios</w:t>
            </w:r>
          </w:p>
          <w:p>
            <w:pPr>
              <w:spacing w:after="60" w:before="60"/>
            </w:pPr>
            <w:r>
              <w:rPr>
                <w:rFonts w:ascii="Calibri" w:cs="Calibri" w:eastAsia="Calibri" w:hAnsi="Calibri"/>
                <w:sz w:val="22"/>
                <w:szCs w:val="22"/>
              </w:rPr>
              <w:t xml:space="preserve">1. Prospección activa: búsqueda sistemática en portales inmobiliarios, redes de propietarios sociales, contacto con administradores de fincas.</w:t>
            </w:r>
          </w:p>
          <w:p>
            <w:pPr>
              <w:spacing w:after="60" w:before="60"/>
            </w:pPr>
            <w:r>
              <w:rPr>
                <w:rFonts w:ascii="Calibri" w:cs="Calibri" w:eastAsia="Calibri" w:hAnsi="Calibri"/>
                <w:sz w:val="22"/>
                <w:szCs w:val="22"/>
              </w:rPr>
              <w:t xml:space="preserve">2. Argumentario claro: los propietarios necesitan garantías de pago, apoyo ante incidencias y un interlocutor accesible. El programa debe ofrecer los tres.</w:t>
            </w:r>
          </w:p>
          <w:p>
            <w:pPr>
              <w:spacing w:after="60" w:before="60"/>
            </w:pPr>
            <w:r>
              <w:rPr>
                <w:rFonts w:ascii="Calibri" w:cs="Calibri" w:eastAsia="Calibri" w:hAnsi="Calibri"/>
                <w:sz w:val="22"/>
                <w:szCs w:val="22"/>
              </w:rPr>
              <w:t xml:space="preserve">3. Contrato estándar: se recomienda usar el modelo de contrato de arrendamiento ordinario (LAU) sin condiciones especiales que estigmaticen al inquilino.</w:t>
            </w:r>
          </w:p>
          <w:p>
            <w:pPr>
              <w:spacing w:after="60" w:before="60"/>
            </w:pPr>
            <w:r>
              <w:rPr>
                <w:rFonts w:ascii="Calibri" w:cs="Calibri" w:eastAsia="Calibri" w:hAnsi="Calibri"/>
                <w:sz w:val="22"/>
                <w:szCs w:val="22"/>
              </w:rPr>
              <w:t xml:space="preserve">4. Gestión de incidencias: el programa actúa como primera línea de respuesta ante problemas de convivencia, impagos o deterioro del piso.</w:t>
            </w:r>
          </w:p>
          <w:p>
            <w:pPr>
              <w:spacing w:after="60" w:before="60"/>
            </w:pPr>
            <w:r>
              <w:rPr>
                <w:rFonts w:ascii="Calibri" w:cs="Calibri" w:eastAsia="Calibri" w:hAnsi="Calibri"/>
                <w:sz w:val="22"/>
                <w:szCs w:val="22"/>
              </w:rPr>
              <w:t xml:space="preserve">5. Redes de propietarios solidarios: en algunos territorios existen redes formalizadas (p.ej. convocatorias de la administración para propietarios sociales) que facilitan la captación.</w:t>
            </w:r>
          </w:p>
          <w:p>
            <w:pPr>
              <w:spacing w:after="60" w:before="60"/>
            </w:pPr>
            <w:r>
              <w:rPr>
                <w:rFonts w:ascii="Calibri" w:cs="Calibri" w:eastAsia="Calibri" w:hAnsi="Calibri"/>
                <w:sz w:val="22"/>
                <w:szCs w:val="22"/>
              </w:rPr>
              <w:t xml:space="preserve">6. Protocolo de salida ordenada: cuando la persona abandona el piso, el programa gestiona la devolución y el estado de la vivienda, protegiendo la reputación del programa ante el propietario.</w:t>
            </w:r>
          </w:p>
        </w:tc>
      </w:tr>
    </w:tbl>
    <w:p>
      <w:pPr>
        <w:pStyle w:val="Heading2"/>
        <w:shd w:fill="2E75B6" w:val="clear"/>
        <w:spacing w:after="120" w:before="200"/>
      </w:pPr>
      <w:r>
        <w:rPr>
          <w:rFonts w:ascii="Calibri" w:cs="Calibri" w:eastAsia="Calibri" w:hAnsi="Calibri"/>
          <w:b/>
          <w:bCs/>
          <w:color w:val="FFFFFF"/>
          <w:sz w:val="26"/>
          <w:szCs w:val="26"/>
        </w:rPr>
        <w:t xml:space="preserve">19.6 Plantilla de Protocolo de Coordinación Interinstitucional</w:t>
      </w:r>
    </w:p>
    <w:p>
      <w:pPr>
        <w:spacing w:after="100" w:before="100"/>
        <w:jc w:val="both"/>
      </w:pPr>
      <w:r>
        <w:rPr>
          <w:rFonts w:ascii="Calibri" w:cs="Calibri" w:eastAsia="Calibri" w:hAnsi="Calibri"/>
          <w:b w:val="false"/>
          <w:bCs w:val="false"/>
          <w:i w:val="false"/>
          <w:iCs w:val="false"/>
          <w:color w:val="000000"/>
          <w:sz w:val="22"/>
          <w:szCs w:val="22"/>
        </w:rPr>
        <w:t xml:space="preserve">Se presenta a continuación una plantilla de protocolo de coordinación para formalizar los acuerdos entre el programa Housing First y otros servicios: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9026"/>
            <w:gridSpan w:val="2"/>
            <w:shd w:fill="1F4E79" w:val="clear"/>
            <w:tcMar>
              <w:top w:type="dxa" w:w="80"/>
              <w:left w:type="dxa" w:w="120"/>
              <w:bottom w:type="dxa" w:w="80"/>
              <w:right w:type="dxa" w:w="120"/>
            </w:tcMar>
          </w:tcPr>
          <w:p>
            <w:pPr>
              <w:jc w:val="center"/>
            </w:pPr>
            <w:r>
              <w:rPr>
                <w:rFonts w:ascii="Calibri" w:cs="Calibri" w:eastAsia="Calibri" w:hAnsi="Calibri"/>
                <w:b/>
                <w:bCs/>
                <w:color w:val="FFFFFF"/>
                <w:sz w:val="22"/>
                <w:szCs w:val="22"/>
              </w:rPr>
              <w:t xml:space="preserve">PROTOCOLO DE COORDINACIÓN INTERINSTITUCIONAL —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Entidades firmantes: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[Entidad 1]:</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Nombre, CIF, domicilio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[Entidad 2]:</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Nombre, CIF, domicilio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Fecha de firma: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__ / 20__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Vigencia: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Hasta __ / __ / 20__ (renovación automática / anual)</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OBJETO DEL PROTOCOLO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Objeto: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Establecer los mecanismos de coordinación entre ambas entidades en la atención a personas usuarias del Programa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Ámbito territorial: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Población destinataria: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Personas usuarias del programa Housing First con necesidades de atención en [nombre del servicio/sistema].</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MECANISMOS DE COORDINACIÓN</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Reuniones de coordinación: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Frecuencia: __ (mensual/trimestral/semestral). Formato: presencial/telemática. Actas: sí/no.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Canal de comunicación habitual: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Correo electrónico / teléfono / plataforma compartida. Persona de contacto en cada entidad.</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Reuniones de caso individual: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A petición de cualquiera de las partes. Convocatoria con __ días de antelación.</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Informes compartidos: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Tipos y frecuencia de informes que se intercambian (con consentimiento del usuario).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DERIVACIONES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Criterios de derivación de [Entidad 1] a [Entidad 2]:</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Criterios de derivación de [Entidad 2] a [Entidad 1]:</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Circuito de derivación: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Descripción del procedimiento (formulario, contacto, plazo de respuesta).</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CONFIDENCIALIDAD Y PROTECCIÓN DE DATOS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Base legal para el intercambio de datos: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Consentimiento explícito del/la usuario/a (Formulario adjunto como Anexo I).</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Datos que pueden compartirse:</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Solo los estrictamente necesarios para la coordinación (no datos clínicos sin consentimiento).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Responsable de tratamiento en cada entidad:</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RESOLUCIÓN DE DISCREPANCIAS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Procedimiento: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Contacto entre responsables de programa. Si no hay acuerdo: comisión de seguimiento. Si persiste: arbitraje / vía judicial.</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FIRMAS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Por [Entidad 1]:</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Nombre, cargo, fecha y firma</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Por [Entidad 2]:</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Nombre, cargo, fecha y firma</w:t>
            </w:r>
          </w:p>
        </w:tc>
      </w:tr>
    </w:tbl>
    <w:p>
      <w:pPr>
        <w:pStyle w:val="Heading1"/>
        <w:pageBreakBefore/>
        <w:shd w:fill="1F4E79" w:val="clear"/>
        <w:spacing w:after="200" w:before="240"/>
      </w:pPr>
      <w:r>
        <w:rPr>
          <w:rFonts w:ascii="Calibri" w:cs="Calibri" w:eastAsia="Calibri" w:hAnsi="Calibri"/>
          <w:b/>
          <w:bCs/>
          <w:color w:val="FFFFFF"/>
          <w:sz w:val="32"/>
          <w:szCs w:val="32"/>
        </w:rPr>
        <w:t xml:space="preserve">MÓDULO 20: GESTIÓN DEL EQUIPO Y SUPERVISIÓN PROFESIONAL</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Objetivo del módulo</w:t>
            </w:r>
          </w:p>
          <w:p>
            <w:pPr>
              <w:spacing w:after="60" w:before="60"/>
            </w:pPr>
            <w:r>
              <w:rPr>
                <w:rFonts w:ascii="Calibri" w:cs="Calibri" w:eastAsia="Calibri" w:hAnsi="Calibri"/>
                <w:sz w:val="22"/>
                <w:szCs w:val="22"/>
              </w:rPr>
              <w:t xml:space="preserve">Proporcionar al coordinador/a de programas Housing First las herramientas conceptuales y operativas para gestionar equipos multiprofesionales de forma efectiva, implementar procesos de supervisión clínica y organizacional, y diseñar estrategias de prevención del burnout y desarrollo profesional.</w:t>
            </w:r>
          </w:p>
        </w:tc>
      </w:tr>
    </w:tbl>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20.1 El Equipo Housing First: Estructura y Funciones</w:t>
      </w:r>
    </w:p>
    <w:p>
      <w:pPr>
        <w:spacing w:after="100" w:before="100"/>
        <w:jc w:val="both"/>
      </w:pPr>
      <w:r>
        <w:rPr>
          <w:rFonts w:ascii="Calibri" w:cs="Calibri" w:eastAsia="Calibri" w:hAnsi="Calibri"/>
          <w:b w:val="false"/>
          <w:bCs w:val="false"/>
          <w:i w:val="false"/>
          <w:iCs w:val="false"/>
          <w:color w:val="000000"/>
          <w:sz w:val="22"/>
          <w:szCs w:val="22"/>
        </w:rPr>
        <w:t xml:space="preserve">El equipo de un programa Housing First tiene una composición multiprofesional determinada por las necesidades de la población atendida. La investigación internacional muestra que los equipos con mayor diversidad de perfiles (social, clínico, entre iguales) obtienen mejores resultados.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Perfil profesional</w:t>
            </w:r>
          </w:p>
        </w:tc>
        <w:tc>
          <w:tcPr>
            <w:tcW w:type="dxa" w:w="4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Funciones principales</w:t>
            </w:r>
          </w:p>
        </w:tc>
        <w:tc>
          <w:tcPr>
            <w:tcW w:type="dxa" w:w="30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Ratio recomendado</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Trabajador/a Social</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Gestión de caso, tramitación de prestaciones, coordinación interinstitucional, trabajo familiar</w:t>
            </w:r>
          </w:p>
        </w:tc>
        <w:tc>
          <w:tcPr>
            <w:tcW w:type="dxa" w:w="3026"/>
            <w:shd w:fill="F2F2F2" w:val="clear"/>
            <w:tcMar>
              <w:top w:type="dxa" w:w="60"/>
              <w:left w:type="dxa" w:w="100"/>
              <w:bottom w:type="dxa" w:w="60"/>
              <w:right w:type="dxa" w:w="100"/>
            </w:tcMar>
          </w:tcPr>
          <w:p>
            <w:r>
              <w:rPr>
                <w:rFonts w:ascii="Calibri" w:cs="Calibri" w:eastAsia="Calibri" w:hAnsi="Calibri"/>
                <w:sz w:val="20"/>
                <w:szCs w:val="20"/>
              </w:rPr>
              <w:t xml:space="preserve">1 por cada 10-15 personas</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Psicólogo/a clínico/a</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Evaluación psicológica, intervención terapéutica, apoyo en crisis, coordinación con salud mental</w:t>
            </w:r>
          </w:p>
        </w:tc>
        <w:tc>
          <w:tcPr>
            <w:tcW w:type="dxa" w:w="3026"/>
            <w:shd w:fill="FFFFFF" w:val="clear"/>
            <w:tcMar>
              <w:top w:type="dxa" w:w="60"/>
              <w:left w:type="dxa" w:w="100"/>
              <w:bottom w:type="dxa" w:w="60"/>
              <w:right w:type="dxa" w:w="100"/>
            </w:tcMar>
          </w:tcPr>
          <w:p>
            <w:r>
              <w:rPr>
                <w:rFonts w:ascii="Calibri" w:cs="Calibri" w:eastAsia="Calibri" w:hAnsi="Calibri"/>
                <w:sz w:val="20"/>
                <w:szCs w:val="20"/>
              </w:rPr>
              <w:t xml:space="preserve">1 por cada 15-20 personas</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Educador/a Social</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Intervención psicosocial en domicilio, acompañamiento comunitario, habilidades de la vida diaria</w:t>
            </w:r>
          </w:p>
        </w:tc>
        <w:tc>
          <w:tcPr>
            <w:tcW w:type="dxa" w:w="3026"/>
            <w:shd w:fill="F2F2F2" w:val="clear"/>
            <w:tcMar>
              <w:top w:type="dxa" w:w="60"/>
              <w:left w:type="dxa" w:w="100"/>
              <w:bottom w:type="dxa" w:w="60"/>
              <w:right w:type="dxa" w:w="100"/>
            </w:tcMar>
          </w:tcPr>
          <w:p>
            <w:r>
              <w:rPr>
                <w:rFonts w:ascii="Calibri" w:cs="Calibri" w:eastAsia="Calibri" w:hAnsi="Calibri"/>
                <w:sz w:val="20"/>
                <w:szCs w:val="20"/>
              </w:rPr>
              <w:t xml:space="preserve">1 por cada 10-12 personas</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Técnico/a de vivienda</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Captación de pisos, gestión de contratos, mediación con propietarios, inspecciones</w:t>
            </w:r>
          </w:p>
        </w:tc>
        <w:tc>
          <w:tcPr>
            <w:tcW w:type="dxa" w:w="3026"/>
            <w:shd w:fill="FFFFFF" w:val="clear"/>
            <w:tcMar>
              <w:top w:type="dxa" w:w="60"/>
              <w:left w:type="dxa" w:w="100"/>
              <w:bottom w:type="dxa" w:w="60"/>
              <w:right w:type="dxa" w:w="100"/>
            </w:tcMar>
          </w:tcPr>
          <w:p>
            <w:r>
              <w:rPr>
                <w:rFonts w:ascii="Calibri" w:cs="Calibri" w:eastAsia="Calibri" w:hAnsi="Calibri"/>
                <w:sz w:val="20"/>
                <w:szCs w:val="20"/>
              </w:rPr>
              <w:t xml:space="preserve">1 por cada 25-30 pisos</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Auxiliar / Técnico/a de apoyo</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Acompañamientos, gestiones administrativas, apoyo a visitas</w:t>
            </w:r>
          </w:p>
        </w:tc>
        <w:tc>
          <w:tcPr>
            <w:tcW w:type="dxa" w:w="3026"/>
            <w:shd w:fill="F2F2F2" w:val="clear"/>
            <w:tcMar>
              <w:top w:type="dxa" w:w="60"/>
              <w:left w:type="dxa" w:w="100"/>
              <w:bottom w:type="dxa" w:w="60"/>
              <w:right w:type="dxa" w:w="100"/>
            </w:tcMar>
          </w:tcPr>
          <w:p>
            <w:r>
              <w:rPr>
                <w:rFonts w:ascii="Calibri" w:cs="Calibri" w:eastAsia="Calibri" w:hAnsi="Calibri"/>
                <w:sz w:val="20"/>
                <w:szCs w:val="20"/>
              </w:rPr>
              <w:t xml:space="preserve">Según necesidad</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Profesional entre iguales (peer worker)</w:t>
            </w:r>
          </w:p>
        </w:tc>
        <w:tc>
          <w:tcPr>
            <w:tcW w:type="dxa" w:w="4000"/>
            <w:shd w:fill="FFFFFF" w:val="clear"/>
            <w:tcMar>
              <w:top w:type="dxa" w:w="60"/>
              <w:left w:type="dxa" w:w="100"/>
              <w:bottom w:type="dxa" w:w="60"/>
              <w:right w:type="dxa" w:w="100"/>
            </w:tcMar>
          </w:tcPr>
          <w:p>
            <w:r>
              <w:rPr>
                <w:rFonts w:ascii="Calibri" w:cs="Calibri" w:eastAsia="Calibri" w:hAnsi="Calibri"/>
                <w:sz w:val="20"/>
                <w:szCs w:val="20"/>
              </w:rPr>
              <w:t xml:space="preserve">Apoyo basado en experiencia vivida, puente cultural, reducción del estigma</w:t>
            </w:r>
          </w:p>
        </w:tc>
        <w:tc>
          <w:tcPr>
            <w:tcW w:type="dxa" w:w="3026"/>
            <w:shd w:fill="FFFFFF" w:val="clear"/>
            <w:tcMar>
              <w:top w:type="dxa" w:w="60"/>
              <w:left w:type="dxa" w:w="100"/>
              <w:bottom w:type="dxa" w:w="60"/>
              <w:right w:type="dxa" w:w="100"/>
            </w:tcMar>
          </w:tcPr>
          <w:p>
            <w:r>
              <w:rPr>
                <w:rFonts w:ascii="Calibri" w:cs="Calibri" w:eastAsia="Calibri" w:hAnsi="Calibri"/>
                <w:sz w:val="20"/>
                <w:szCs w:val="20"/>
              </w:rPr>
              <w:t xml:space="preserve">Recomendable 1 por equipo</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Coordinador/a de programa</w:t>
            </w:r>
          </w:p>
        </w:tc>
        <w:tc>
          <w:tcPr>
            <w:tcW w:type="dxa" w:w="4000"/>
            <w:shd w:fill="F2F2F2" w:val="clear"/>
            <w:tcMar>
              <w:top w:type="dxa" w:w="60"/>
              <w:left w:type="dxa" w:w="100"/>
              <w:bottom w:type="dxa" w:w="60"/>
              <w:right w:type="dxa" w:w="100"/>
            </w:tcMar>
          </w:tcPr>
          <w:p>
            <w:r>
              <w:rPr>
                <w:rFonts w:ascii="Calibri" w:cs="Calibri" w:eastAsia="Calibri" w:hAnsi="Calibri"/>
                <w:sz w:val="20"/>
                <w:szCs w:val="20"/>
              </w:rPr>
              <w:t xml:space="preserve">Supervisión del equipo, relación con financiadores, planificación, evaluación</w:t>
            </w:r>
          </w:p>
        </w:tc>
        <w:tc>
          <w:tcPr>
            <w:tcW w:type="dxa" w:w="3026"/>
            <w:shd w:fill="F2F2F2" w:val="clear"/>
            <w:tcMar>
              <w:top w:type="dxa" w:w="60"/>
              <w:left w:type="dxa" w:w="100"/>
              <w:bottom w:type="dxa" w:w="60"/>
              <w:right w:type="dxa" w:w="100"/>
            </w:tcMar>
          </w:tcPr>
          <w:p>
            <w:r>
              <w:rPr>
                <w:rFonts w:ascii="Calibri" w:cs="Calibri" w:eastAsia="Calibri" w:hAnsi="Calibri"/>
                <w:sz w:val="20"/>
                <w:szCs w:val="20"/>
              </w:rPr>
              <w:t xml:space="preserve">1 por programa (más soporte admin.)</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E6B3C" w:sz="4"/>
              <w:left w:val="single" w:color="1E6B3C" w:sz="12"/>
              <w:bottom w:val="single" w:color="1E6B3C" w:sz="4"/>
              <w:right w:val="none"/>
            </w:tcBorders>
            <w:shd w:fill="D5EFDC" w:val="clear"/>
            <w:tcMar>
              <w:top w:type="dxa" w:w="100"/>
              <w:left w:type="dxa" w:w="150"/>
              <w:bottom w:type="dxa" w:w="100"/>
              <w:right w:type="dxa" w:w="150"/>
            </w:tcMar>
          </w:tcPr>
          <w:p>
            <w:pPr>
              <w:spacing w:after="80" w:before="80"/>
            </w:pPr>
            <w:r>
              <w:rPr>
                <w:rFonts w:ascii="Calibri" w:cs="Calibri" w:eastAsia="Calibri" w:hAnsi="Calibri"/>
                <w:b/>
                <w:bCs/>
                <w:color w:val="1E6B3C"/>
                <w:sz w:val="24"/>
                <w:szCs w:val="24"/>
              </w:rPr>
              <w:t xml:space="preserve">El/la profesional entre iguales (peer worker) en Housing First</w:t>
            </w:r>
          </w:p>
          <w:p>
            <w:pPr>
              <w:spacing w:after="60" w:before="60"/>
            </w:pPr>
            <w:r>
              <w:rPr>
                <w:rFonts w:ascii="Calibri" w:cs="Calibri" w:eastAsia="Calibri" w:hAnsi="Calibri"/>
                <w:sz w:val="22"/>
                <w:szCs w:val="22"/>
              </w:rPr>
              <w:t xml:space="preserve">La incorporación de profesionales con experiencia vivida en la falta de vivienda o el trastorno mental grave es una de las innovaciones más potentes del modelo Housing First.</w:t>
            </w:r>
          </w:p>
          <w:p>
            <w:pPr>
              <w:spacing w:after="60" w:before="60"/>
            </w:pPr>
            <w:r>
              <w:rPr>
                <w:rFonts w:ascii="Calibri" w:cs="Calibri" w:eastAsia="Calibri" w:hAnsi="Calibri"/>
                <w:sz w:val="22"/>
                <w:szCs w:val="22"/>
              </w:rPr>
              <w:t xml:space="preserve">Su papel no se limita al acompañamiento emocional: el peer worker es un profesional formado que aporta credibilidad, facilita el vínculo con personas resistentes a los servicios, y actúa como modelo de recuperación.</w:t>
            </w:r>
          </w:p>
          <w:p>
            <w:pPr>
              <w:spacing w:after="60" w:before="60"/>
            </w:pPr>
            <w:r>
              <w:rPr>
                <w:rFonts w:ascii="Calibri" w:cs="Calibri" w:eastAsia="Calibri" w:hAnsi="Calibri"/>
                <w:sz w:val="22"/>
                <w:szCs w:val="22"/>
              </w:rPr>
              <w:t xml:space="preserve">Para ser efectivos, los peer workers deben: recibir formación específica, tener un rol claramente definido, participar en reuniones de equipo en igualdad de condiciones, y contar con supervisión adaptada a sus necesidades.</w:t>
            </w:r>
          </w:p>
        </w:tc>
      </w:tr>
    </w:tbl>
    <w:p>
      <w:pPr>
        <w:pStyle w:val="Heading2"/>
        <w:shd w:fill="2E75B6" w:val="clear"/>
        <w:spacing w:after="120" w:before="200"/>
      </w:pPr>
      <w:r>
        <w:rPr>
          <w:rFonts w:ascii="Calibri" w:cs="Calibri" w:eastAsia="Calibri" w:hAnsi="Calibri"/>
          <w:b/>
          <w:bCs/>
          <w:color w:val="FFFFFF"/>
          <w:sz w:val="26"/>
          <w:szCs w:val="26"/>
        </w:rPr>
        <w:t xml:space="preserve">20.2 Supervisión Clínica y de Equipo</w:t>
      </w:r>
    </w:p>
    <w:p>
      <w:pPr>
        <w:spacing w:after="100" w:before="100"/>
        <w:jc w:val="both"/>
      </w:pPr>
      <w:r>
        <w:rPr>
          <w:rFonts w:ascii="Calibri" w:cs="Calibri" w:eastAsia="Calibri" w:hAnsi="Calibri"/>
          <w:b w:val="false"/>
          <w:bCs w:val="false"/>
          <w:i w:val="false"/>
          <w:iCs w:val="false"/>
          <w:color w:val="000000"/>
          <w:sz w:val="22"/>
          <w:szCs w:val="22"/>
        </w:rPr>
        <w:t xml:space="preserve">La supervisión es un elemento imprescindible en el trabajo con personas en situación de exclusión social extrema. Los programas Housing First trabajan con situaciones de alta complejidad y elevada carga emocional: la supervisión protege tanto a los profesionales como a las personas usuarias.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Se distinguen dos modalidades principales de supervisión: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Modalidad</w:t>
            </w:r>
          </w:p>
        </w:tc>
        <w:tc>
          <w:tcPr>
            <w:tcW w:type="dxa" w:w="2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Objetivo</w:t>
            </w:r>
          </w:p>
        </w:tc>
        <w:tc>
          <w:tcPr>
            <w:tcW w:type="dxa" w:w="15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Frecuencia</w:t>
            </w:r>
          </w:p>
        </w:tc>
        <w:tc>
          <w:tcPr>
            <w:tcW w:type="dxa" w:w="25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Quién facilita</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Supervisión clínica individual</w:t>
            </w:r>
          </w:p>
        </w:tc>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Análisis de casos complejos; gestión de la relación terapéutica; detección de contratransferencias</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Mensual</w:t>
            </w:r>
          </w:p>
        </w:tc>
        <w:tc>
          <w:tcPr>
            <w:tcW w:type="dxa" w:w="2526"/>
            <w:shd w:fill="F2F2F2" w:val="clear"/>
            <w:tcMar>
              <w:top w:type="dxa" w:w="60"/>
              <w:left w:type="dxa" w:w="100"/>
              <w:bottom w:type="dxa" w:w="60"/>
              <w:right w:type="dxa" w:w="100"/>
            </w:tcMar>
          </w:tcPr>
          <w:p>
            <w:r>
              <w:rPr>
                <w:rFonts w:ascii="Calibri" w:cs="Calibri" w:eastAsia="Calibri" w:hAnsi="Calibri"/>
                <w:sz w:val="20"/>
                <w:szCs w:val="20"/>
              </w:rPr>
              <w:t xml:space="preserve">Supervisor/a externo/a con formación clínica</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Supervisión de equipo (grupal)</w:t>
            </w:r>
          </w:p>
        </w:tc>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Cohesión de equipo; análisis de casos en grupo; resolución de conflictos; revisión de protocolos</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Quincenal o mensual</w:t>
            </w:r>
          </w:p>
        </w:tc>
        <w:tc>
          <w:tcPr>
            <w:tcW w:type="dxa" w:w="2526"/>
            <w:shd w:fill="FFFFFF" w:val="clear"/>
            <w:tcMar>
              <w:top w:type="dxa" w:w="60"/>
              <w:left w:type="dxa" w:w="100"/>
              <w:bottom w:type="dxa" w:w="60"/>
              <w:right w:type="dxa" w:w="100"/>
            </w:tcMar>
          </w:tcPr>
          <w:p>
            <w:r>
              <w:rPr>
                <w:rFonts w:ascii="Calibri" w:cs="Calibri" w:eastAsia="Calibri" w:hAnsi="Calibri"/>
                <w:sz w:val="20"/>
                <w:szCs w:val="20"/>
              </w:rPr>
              <w:t xml:space="preserve">Coordinador/a o supervisor/a externo/a</w:t>
            </w:r>
          </w:p>
        </w:tc>
      </w:tr>
      <w:tr>
        <w:tc>
          <w:tcPr>
            <w:tcW w:type="dxa" w:w="2200"/>
            <w:shd w:fill="F2F2F2" w:val="clear"/>
            <w:tcMar>
              <w:top w:type="dxa" w:w="60"/>
              <w:left w:type="dxa" w:w="100"/>
              <w:bottom w:type="dxa" w:w="60"/>
              <w:right w:type="dxa" w:w="100"/>
            </w:tcMar>
          </w:tcPr>
          <w:p>
            <w:r>
              <w:rPr>
                <w:rFonts w:ascii="Calibri" w:cs="Calibri" w:eastAsia="Calibri" w:hAnsi="Calibri"/>
                <w:sz w:val="20"/>
                <w:szCs w:val="20"/>
              </w:rPr>
              <w:t xml:space="preserve">Reunión técnica de casos</w:t>
            </w:r>
          </w:p>
        </w:tc>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Coordinación operativa; asignación de tareas; resolución de incidencias inmediatas</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Semanal</w:t>
            </w:r>
          </w:p>
        </w:tc>
        <w:tc>
          <w:tcPr>
            <w:tcW w:type="dxa" w:w="2526"/>
            <w:shd w:fill="F2F2F2" w:val="clear"/>
            <w:tcMar>
              <w:top w:type="dxa" w:w="60"/>
              <w:left w:type="dxa" w:w="100"/>
              <w:bottom w:type="dxa" w:w="60"/>
              <w:right w:type="dxa" w:w="100"/>
            </w:tcMar>
          </w:tcPr>
          <w:p>
            <w:r>
              <w:rPr>
                <w:rFonts w:ascii="Calibri" w:cs="Calibri" w:eastAsia="Calibri" w:hAnsi="Calibri"/>
                <w:sz w:val="20"/>
                <w:szCs w:val="20"/>
              </w:rPr>
              <w:t xml:space="preserve">Coordinador/a del programa</w:t>
            </w:r>
          </w:p>
        </w:tc>
      </w:tr>
      <w:tr>
        <w:tc>
          <w:tcPr>
            <w:tcW w:type="dxa" w:w="2200"/>
            <w:shd w:fill="FFFFFF" w:val="clear"/>
            <w:tcMar>
              <w:top w:type="dxa" w:w="60"/>
              <w:left w:type="dxa" w:w="100"/>
              <w:bottom w:type="dxa" w:w="60"/>
              <w:right w:type="dxa" w:w="100"/>
            </w:tcMar>
          </w:tcPr>
          <w:p>
            <w:r>
              <w:rPr>
                <w:rFonts w:ascii="Calibri" w:cs="Calibri" w:eastAsia="Calibri" w:hAnsi="Calibri"/>
                <w:sz w:val="20"/>
                <w:szCs w:val="20"/>
              </w:rPr>
              <w:t xml:space="preserve">Supervisión organizacional</w:t>
            </w:r>
          </w:p>
        </w:tc>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Funcionamiento del equipo como sistema; roles, límites, comunicación, liderazgo</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Trimestral o semestral</w:t>
            </w:r>
          </w:p>
        </w:tc>
        <w:tc>
          <w:tcPr>
            <w:tcW w:type="dxa" w:w="2526"/>
            <w:shd w:fill="FFFFFF" w:val="clear"/>
            <w:tcMar>
              <w:top w:type="dxa" w:w="60"/>
              <w:left w:type="dxa" w:w="100"/>
              <w:bottom w:type="dxa" w:w="60"/>
              <w:right w:type="dxa" w:w="100"/>
            </w:tcMar>
          </w:tcPr>
          <w:p>
            <w:r>
              <w:rPr>
                <w:rFonts w:ascii="Calibri" w:cs="Calibri" w:eastAsia="Calibri" w:hAnsi="Calibri"/>
                <w:sz w:val="20"/>
                <w:szCs w:val="20"/>
              </w:rPr>
              <w:t xml:space="preserve">Supervisor/a organizacional externo/a</w:t>
            </w:r>
          </w:p>
        </w:tc>
      </w:tr>
    </w:tbl>
    <w:p>
      <w:pPr>
        <w:pStyle w:val="Heading2"/>
        <w:shd w:fill="2E75B6" w:val="clear"/>
        <w:spacing w:after="120" w:before="200"/>
      </w:pPr>
      <w:r>
        <w:rPr>
          <w:rFonts w:ascii="Calibri" w:cs="Calibri" w:eastAsia="Calibri" w:hAnsi="Calibri"/>
          <w:b/>
          <w:bCs/>
          <w:color w:val="FFFFFF"/>
          <w:sz w:val="26"/>
          <w:szCs w:val="26"/>
        </w:rPr>
        <w:t xml:space="preserve">20.3 Prevención del Burnout y Cuidado de los Profesionales</w:t>
      </w:r>
    </w:p>
    <w:p>
      <w:pPr>
        <w:spacing w:after="100" w:before="100"/>
        <w:jc w:val="both"/>
      </w:pPr>
      <w:r>
        <w:rPr>
          <w:rFonts w:ascii="Calibri" w:cs="Calibri" w:eastAsia="Calibri" w:hAnsi="Calibri"/>
          <w:b w:val="false"/>
          <w:bCs w:val="false"/>
          <w:i w:val="false"/>
          <w:iCs w:val="false"/>
          <w:color w:val="000000"/>
          <w:sz w:val="22"/>
          <w:szCs w:val="22"/>
        </w:rPr>
        <w:t xml:space="preserve">El trabajo en Housing First expone a los profesionales a situaciones de elevado estrés: muertes de usuarios, crisis agudas, conflictos con propietarios, presión de resultados, trabajo en domicilios con condiciones precarias. El riesgo de burnout (síndrome de agotamiento profesional) es significativo.</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00000" w:sz="4"/>
              <w:left w:val="single" w:color="C00000" w:sz="12"/>
              <w:bottom w:val="single" w:color="C00000" w:sz="4"/>
              <w:right w:val="none"/>
            </w:tcBorders>
            <w:shd w:fill="FFDCE0" w:val="clear"/>
            <w:tcMar>
              <w:top w:type="dxa" w:w="100"/>
              <w:left w:type="dxa" w:w="150"/>
              <w:bottom w:type="dxa" w:w="100"/>
              <w:right w:type="dxa" w:w="150"/>
            </w:tcMar>
          </w:tcPr>
          <w:p>
            <w:pPr>
              <w:spacing w:after="80" w:before="80"/>
            </w:pPr>
            <w:r>
              <w:rPr>
                <w:rFonts w:ascii="Calibri" w:cs="Calibri" w:eastAsia="Calibri" w:hAnsi="Calibri"/>
                <w:b/>
                <w:bCs/>
                <w:color w:val="C00000"/>
                <w:sz w:val="24"/>
                <w:szCs w:val="24"/>
              </w:rPr>
              <w:t xml:space="preserve">Factores de riesgo de burnout en equipos Housing First</w:t>
            </w:r>
          </w:p>
          <w:p>
            <w:pPr>
              <w:spacing w:after="60" w:before="60"/>
            </w:pPr>
            <w:r>
              <w:rPr>
                <w:rFonts w:ascii="Calibri" w:cs="Calibri" w:eastAsia="Calibri" w:hAnsi="Calibri"/>
                <w:sz w:val="22"/>
                <w:szCs w:val="22"/>
              </w:rPr>
              <w:t xml:space="preserve">- Ratios de atención elevados (más de 15 personas por profesional).</w:t>
            </w:r>
          </w:p>
          <w:p>
            <w:pPr>
              <w:spacing w:after="60" w:before="60"/>
            </w:pPr>
            <w:r>
              <w:rPr>
                <w:rFonts w:ascii="Calibri" w:cs="Calibri" w:eastAsia="Calibri" w:hAnsi="Calibri"/>
                <w:sz w:val="22"/>
                <w:szCs w:val="22"/>
              </w:rPr>
              <w:t xml:space="preserve">- Falta de supervisión clínica regular.</w:t>
            </w:r>
          </w:p>
          <w:p>
            <w:pPr>
              <w:spacing w:after="60" w:before="60"/>
            </w:pPr>
            <w:r>
              <w:rPr>
                <w:rFonts w:ascii="Calibri" w:cs="Calibri" w:eastAsia="Calibri" w:hAnsi="Calibri"/>
                <w:sz w:val="22"/>
                <w:szCs w:val="22"/>
              </w:rPr>
              <w:t xml:space="preserve">- Ambigüedad de rol: falta de claridad sobre los límites de la intervención.</w:t>
            </w:r>
          </w:p>
          <w:p>
            <w:pPr>
              <w:spacing w:after="60" w:before="60"/>
            </w:pPr>
            <w:r>
              <w:rPr>
                <w:rFonts w:ascii="Calibri" w:cs="Calibri" w:eastAsia="Calibri" w:hAnsi="Calibri"/>
                <w:sz w:val="22"/>
                <w:szCs w:val="22"/>
              </w:rPr>
              <w:t xml:space="preserve">- Carencia de recursos: no poder dar respuesta a las necesidades detectadas.</w:t>
            </w:r>
          </w:p>
          <w:p>
            <w:pPr>
              <w:spacing w:after="60" w:before="60"/>
            </w:pPr>
            <w:r>
              <w:rPr>
                <w:rFonts w:ascii="Calibri" w:cs="Calibri" w:eastAsia="Calibri" w:hAnsi="Calibri"/>
                <w:sz w:val="22"/>
                <w:szCs w:val="22"/>
              </w:rPr>
              <w:t xml:space="preserve">- Trabajo aislado, sin cohesión de equipo.</w:t>
            </w:r>
          </w:p>
          <w:p>
            <w:pPr>
              <w:spacing w:after="60" w:before="60"/>
            </w:pPr>
            <w:r>
              <w:rPr>
                <w:rFonts w:ascii="Calibri" w:cs="Calibri" w:eastAsia="Calibri" w:hAnsi="Calibri"/>
                <w:sz w:val="22"/>
                <w:szCs w:val="22"/>
              </w:rPr>
              <w:t xml:space="preserve">- Falta de reconocimiento institucional o social.</w:t>
            </w:r>
          </w:p>
          <w:p>
            <w:pPr>
              <w:spacing w:after="60" w:before="60"/>
            </w:pPr>
            <w:r>
              <w:rPr>
                <w:rFonts w:ascii="Calibri" w:cs="Calibri" w:eastAsia="Calibri" w:hAnsi="Calibri"/>
                <w:sz w:val="22"/>
                <w:szCs w:val="22"/>
              </w:rPr>
              <w:t xml:space="preserve">- Exposición continua al trauma sin espacios de elaboración.</w:t>
            </w:r>
          </w:p>
          <w:p>
            <w:pPr>
              <w:spacing w:after="60" w:before="60"/>
            </w:pPr>
            <w:r>
              <w:rPr>
                <w:rFonts w:ascii="Calibri" w:cs="Calibri" w:eastAsia="Calibri" w:hAnsi="Calibri"/>
                <w:sz w:val="22"/>
                <w:szCs w:val="22"/>
              </w:rPr>
              <w:t xml:space="preserve">- Inestabilidad contractual y precariedad laboral.</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E6B3C" w:sz="4"/>
              <w:left w:val="single" w:color="1E6B3C" w:sz="12"/>
              <w:bottom w:val="single" w:color="1E6B3C" w:sz="4"/>
              <w:right w:val="none"/>
            </w:tcBorders>
            <w:shd w:fill="D5EFDC" w:val="clear"/>
            <w:tcMar>
              <w:top w:type="dxa" w:w="100"/>
              <w:left w:type="dxa" w:w="150"/>
              <w:bottom w:type="dxa" w:w="100"/>
              <w:right w:type="dxa" w:w="150"/>
            </w:tcMar>
          </w:tcPr>
          <w:p>
            <w:pPr>
              <w:spacing w:after="80" w:before="80"/>
            </w:pPr>
            <w:r>
              <w:rPr>
                <w:rFonts w:ascii="Calibri" w:cs="Calibri" w:eastAsia="Calibri" w:hAnsi="Calibri"/>
                <w:b/>
                <w:bCs/>
                <w:color w:val="1E6B3C"/>
                <w:sz w:val="24"/>
                <w:szCs w:val="24"/>
              </w:rPr>
              <w:t xml:space="preserve">Estrategias organizacionales de prevención del burnout</w:t>
            </w:r>
          </w:p>
          <w:p>
            <w:pPr>
              <w:spacing w:after="60" w:before="60"/>
            </w:pPr>
            <w:r>
              <w:rPr>
                <w:rFonts w:ascii="Calibri" w:cs="Calibri" w:eastAsia="Calibri" w:hAnsi="Calibri"/>
                <w:sz w:val="22"/>
                <w:szCs w:val="22"/>
              </w:rPr>
              <w:t xml:space="preserve">1. Mantener ratios de atención ajustados a la guía de fidelidad (máximo 15-20 personas por profesional).</w:t>
            </w:r>
          </w:p>
          <w:p>
            <w:pPr>
              <w:spacing w:after="60" w:before="60"/>
            </w:pPr>
            <w:r>
              <w:rPr>
                <w:rFonts w:ascii="Calibri" w:cs="Calibri" w:eastAsia="Calibri" w:hAnsi="Calibri"/>
                <w:sz w:val="22"/>
                <w:szCs w:val="22"/>
              </w:rPr>
              <w:t xml:space="preserve">2. Garantizar supervisión clínica y de equipo regular como parte de la jornada laboral remunerada.</w:t>
            </w:r>
          </w:p>
          <w:p>
            <w:pPr>
              <w:spacing w:after="60" w:before="60"/>
            </w:pPr>
            <w:r>
              <w:rPr>
                <w:rFonts w:ascii="Calibri" w:cs="Calibri" w:eastAsia="Calibri" w:hAnsi="Calibri"/>
                <w:sz w:val="22"/>
                <w:szCs w:val="22"/>
              </w:rPr>
              <w:t xml:space="preserve">3. Establecer límites claros de disponibilidad horaria (no disponibilidad 24h para todos los profesionales).</w:t>
            </w:r>
          </w:p>
          <w:p>
            <w:pPr>
              <w:spacing w:after="60" w:before="60"/>
            </w:pPr>
            <w:r>
              <w:rPr>
                <w:rFonts w:ascii="Calibri" w:cs="Calibri" w:eastAsia="Calibri" w:hAnsi="Calibri"/>
                <w:sz w:val="22"/>
                <w:szCs w:val="22"/>
              </w:rPr>
              <w:t xml:space="preserve">4. Celebrar los éxitos: compartir en reuniones los logros y progresos de las personas usuarias.</w:t>
            </w:r>
          </w:p>
          <w:p>
            <w:pPr>
              <w:spacing w:after="60" w:before="60"/>
            </w:pPr>
            <w:r>
              <w:rPr>
                <w:rFonts w:ascii="Calibri" w:cs="Calibri" w:eastAsia="Calibri" w:hAnsi="Calibri"/>
                <w:sz w:val="22"/>
                <w:szCs w:val="22"/>
              </w:rPr>
              <w:t xml:space="preserve">5. Formación continuada como derecho, no como privilegio.</w:t>
            </w:r>
          </w:p>
          <w:p>
            <w:pPr>
              <w:spacing w:after="60" w:before="60"/>
            </w:pPr>
            <w:r>
              <w:rPr>
                <w:rFonts w:ascii="Calibri" w:cs="Calibri" w:eastAsia="Calibri" w:hAnsi="Calibri"/>
                <w:sz w:val="22"/>
                <w:szCs w:val="22"/>
              </w:rPr>
              <w:t xml:space="preserve">6. Rotación controlada de casos cuando la relación profesional-usuario se vuelve disfuncional.</w:t>
            </w:r>
          </w:p>
          <w:p>
            <w:pPr>
              <w:spacing w:after="60" w:before="60"/>
            </w:pPr>
            <w:r>
              <w:rPr>
                <w:rFonts w:ascii="Calibri" w:cs="Calibri" w:eastAsia="Calibri" w:hAnsi="Calibri"/>
                <w:sz w:val="22"/>
                <w:szCs w:val="22"/>
              </w:rPr>
              <w:t xml:space="preserve">7. Plan de acogida para nuevos profesionales: acompañamiento en los primeros 3-6 meses.</w:t>
            </w:r>
          </w:p>
          <w:p>
            <w:pPr>
              <w:spacing w:after="60" w:before="60"/>
            </w:pPr>
            <w:r>
              <w:rPr>
                <w:rFonts w:ascii="Calibri" w:cs="Calibri" w:eastAsia="Calibri" w:hAnsi="Calibri"/>
                <w:sz w:val="22"/>
                <w:szCs w:val="22"/>
              </w:rPr>
              <w:t xml:space="preserve">8. Evaluar el clima de equipo periódicamente (encuesta anónima semestral).</w:t>
            </w:r>
          </w:p>
        </w:tc>
      </w:tr>
    </w:tbl>
    <w:p>
      <w:pPr>
        <w:pStyle w:val="Heading2"/>
        <w:shd w:fill="2E75B6" w:val="clear"/>
        <w:spacing w:after="120" w:before="200"/>
      </w:pPr>
      <w:r>
        <w:rPr>
          <w:rFonts w:ascii="Calibri" w:cs="Calibri" w:eastAsia="Calibri" w:hAnsi="Calibri"/>
          <w:b/>
          <w:bCs/>
          <w:color w:val="FFFFFF"/>
          <w:sz w:val="26"/>
          <w:szCs w:val="26"/>
        </w:rPr>
        <w:t xml:space="preserve">20.4 Formación Continuada y Desarrollo Profesional</w:t>
      </w:r>
    </w:p>
    <w:p>
      <w:pPr>
        <w:spacing w:after="100" w:before="100"/>
        <w:jc w:val="both"/>
      </w:pPr>
      <w:r>
        <w:rPr>
          <w:rFonts w:ascii="Calibri" w:cs="Calibri" w:eastAsia="Calibri" w:hAnsi="Calibri"/>
          <w:b w:val="false"/>
          <w:bCs w:val="false"/>
          <w:i w:val="false"/>
          <w:iCs w:val="false"/>
          <w:color w:val="000000"/>
          <w:sz w:val="22"/>
          <w:szCs w:val="22"/>
        </w:rPr>
        <w:t xml:space="preserve">Los programas Housing First de mayor calidad invierten en la formación continua de sus equipos. La formación no debe limitarse a la asistencia a cursos externos: debe incluir espacios de reflexión interna y aprendizaje entre iguales.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Se propone el siguiente plan de formación anual orientativo para equipos Housing First:</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3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Tema formativo</w:t>
            </w:r>
          </w:p>
        </w:tc>
        <w:tc>
          <w:tcPr>
            <w:tcW w:type="dxa" w:w="15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Tipo</w:t>
            </w:r>
          </w:p>
        </w:tc>
        <w:tc>
          <w:tcPr>
            <w:tcW w:type="dxa" w:w="1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Horas orientativas</w:t>
            </w:r>
          </w:p>
        </w:tc>
        <w:tc>
          <w:tcPr>
            <w:tcW w:type="dxa" w:w="27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Periodicidad</w:t>
            </w:r>
          </w:p>
        </w:tc>
      </w:tr>
      <w:tr>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Actualización en Housing First y revisión de fidelidad</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Interna + externa</w:t>
            </w:r>
          </w:p>
        </w:tc>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8h</w:t>
            </w:r>
          </w:p>
        </w:tc>
        <w:tc>
          <w:tcPr>
            <w:tcW w:type="dxa" w:w="2726"/>
            <w:shd w:fill="F2F2F2" w:val="clear"/>
            <w:tcMar>
              <w:top w:type="dxa" w:w="60"/>
              <w:left w:type="dxa" w:w="100"/>
              <w:bottom w:type="dxa" w:w="60"/>
              <w:right w:type="dxa" w:w="100"/>
            </w:tcMar>
          </w:tcPr>
          <w:p>
            <w:r>
              <w:rPr>
                <w:rFonts w:ascii="Calibri" w:cs="Calibri" w:eastAsia="Calibri" w:hAnsi="Calibri"/>
                <w:sz w:val="20"/>
                <w:szCs w:val="20"/>
              </w:rPr>
              <w:t xml:space="preserve">Anual</w:t>
            </w:r>
          </w:p>
        </w:tc>
      </w:tr>
      <w:tr>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Reducción de daños: actualización clínica y legal</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Externa</w:t>
            </w:r>
          </w:p>
        </w:tc>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6h</w:t>
            </w:r>
          </w:p>
        </w:tc>
        <w:tc>
          <w:tcPr>
            <w:tcW w:type="dxa" w:w="2726"/>
            <w:shd w:fill="FFFFFF" w:val="clear"/>
            <w:tcMar>
              <w:top w:type="dxa" w:w="60"/>
              <w:left w:type="dxa" w:w="100"/>
              <w:bottom w:type="dxa" w:w="60"/>
              <w:right w:type="dxa" w:w="100"/>
            </w:tcMar>
          </w:tcPr>
          <w:p>
            <w:r>
              <w:rPr>
                <w:rFonts w:ascii="Calibri" w:cs="Calibri" w:eastAsia="Calibri" w:hAnsi="Calibri"/>
                <w:sz w:val="20"/>
                <w:szCs w:val="20"/>
              </w:rPr>
              <w:t xml:space="preserve">Anual</w:t>
            </w:r>
          </w:p>
        </w:tc>
      </w:tr>
      <w:tr>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Primeros auxilios psicológicos y atención en crisis</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Externa (certificada)</w:t>
            </w:r>
          </w:p>
        </w:tc>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8h</w:t>
            </w:r>
          </w:p>
        </w:tc>
        <w:tc>
          <w:tcPr>
            <w:tcW w:type="dxa" w:w="2726"/>
            <w:shd w:fill="F2F2F2" w:val="clear"/>
            <w:tcMar>
              <w:top w:type="dxa" w:w="60"/>
              <w:left w:type="dxa" w:w="100"/>
              <w:bottom w:type="dxa" w:w="60"/>
              <w:right w:type="dxa" w:w="100"/>
            </w:tcMar>
          </w:tcPr>
          <w:p>
            <w:r>
              <w:rPr>
                <w:rFonts w:ascii="Calibri" w:cs="Calibri" w:eastAsia="Calibri" w:hAnsi="Calibri"/>
                <w:sz w:val="20"/>
                <w:szCs w:val="20"/>
              </w:rPr>
              <w:t xml:space="preserve">Bienal</w:t>
            </w:r>
          </w:p>
        </w:tc>
      </w:tr>
      <w:tr>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Protección de datos y RGPD aplicado a servicios sociales</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Interna</w:t>
            </w:r>
          </w:p>
        </w:tc>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4h</w:t>
            </w:r>
          </w:p>
        </w:tc>
        <w:tc>
          <w:tcPr>
            <w:tcW w:type="dxa" w:w="2726"/>
            <w:shd w:fill="FFFFFF" w:val="clear"/>
            <w:tcMar>
              <w:top w:type="dxa" w:w="60"/>
              <w:left w:type="dxa" w:w="100"/>
              <w:bottom w:type="dxa" w:w="60"/>
              <w:right w:type="dxa" w:w="100"/>
            </w:tcMar>
          </w:tcPr>
          <w:p>
            <w:r>
              <w:rPr>
                <w:rFonts w:ascii="Calibri" w:cs="Calibri" w:eastAsia="Calibri" w:hAnsi="Calibri"/>
                <w:sz w:val="20"/>
                <w:szCs w:val="20"/>
              </w:rPr>
              <w:t xml:space="preserve">Anual</w:t>
            </w:r>
          </w:p>
        </w:tc>
      </w:tr>
      <w:tr>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Normativa sobre subvenciones y justificación de gastos</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Interna + externa</w:t>
            </w:r>
          </w:p>
        </w:tc>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6h</w:t>
            </w:r>
          </w:p>
        </w:tc>
        <w:tc>
          <w:tcPr>
            <w:tcW w:type="dxa" w:w="2726"/>
            <w:shd w:fill="F2F2F2" w:val="clear"/>
            <w:tcMar>
              <w:top w:type="dxa" w:w="60"/>
              <w:left w:type="dxa" w:w="100"/>
              <w:bottom w:type="dxa" w:w="60"/>
              <w:right w:type="dxa" w:w="100"/>
            </w:tcMar>
          </w:tcPr>
          <w:p>
            <w:r>
              <w:rPr>
                <w:rFonts w:ascii="Calibri" w:cs="Calibri" w:eastAsia="Calibri" w:hAnsi="Calibri"/>
                <w:sz w:val="20"/>
                <w:szCs w:val="20"/>
              </w:rPr>
              <w:t xml:space="preserve">Anual</w:t>
            </w:r>
          </w:p>
        </w:tc>
      </w:tr>
      <w:tr>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Trabajo intercultural y sensibilidad a la diversidad</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Externa</w:t>
            </w:r>
          </w:p>
        </w:tc>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8h</w:t>
            </w:r>
          </w:p>
        </w:tc>
        <w:tc>
          <w:tcPr>
            <w:tcW w:type="dxa" w:w="2726"/>
            <w:shd w:fill="FFFFFF" w:val="clear"/>
            <w:tcMar>
              <w:top w:type="dxa" w:w="60"/>
              <w:left w:type="dxa" w:w="100"/>
              <w:bottom w:type="dxa" w:w="60"/>
              <w:right w:type="dxa" w:w="100"/>
            </w:tcMar>
          </w:tcPr>
          <w:p>
            <w:r>
              <w:rPr>
                <w:rFonts w:ascii="Calibri" w:cs="Calibri" w:eastAsia="Calibri" w:hAnsi="Calibri"/>
                <w:sz w:val="20"/>
                <w:szCs w:val="20"/>
              </w:rPr>
              <w:t xml:space="preserve">Bienal</w:t>
            </w:r>
          </w:p>
        </w:tc>
      </w:tr>
      <w:tr>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Gestión de conflictos y habilidades de comunicación</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Externa</w:t>
            </w:r>
          </w:p>
        </w:tc>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12h</w:t>
            </w:r>
          </w:p>
        </w:tc>
        <w:tc>
          <w:tcPr>
            <w:tcW w:type="dxa" w:w="2726"/>
            <w:shd w:fill="F2F2F2" w:val="clear"/>
            <w:tcMar>
              <w:top w:type="dxa" w:w="60"/>
              <w:left w:type="dxa" w:w="100"/>
              <w:bottom w:type="dxa" w:w="60"/>
              <w:right w:type="dxa" w:w="100"/>
            </w:tcMar>
          </w:tcPr>
          <w:p>
            <w:r>
              <w:rPr>
                <w:rFonts w:ascii="Calibri" w:cs="Calibri" w:eastAsia="Calibri" w:hAnsi="Calibri"/>
                <w:sz w:val="20"/>
                <w:szCs w:val="20"/>
              </w:rPr>
              <w:t xml:space="preserve">Bienal</w:t>
            </w:r>
          </w:p>
        </w:tc>
      </w:tr>
      <w:tr>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Salud mental y trauma: perspectiva del trauma complejo</w:t>
            </w:r>
          </w:p>
        </w:tc>
        <w:tc>
          <w:tcPr>
            <w:tcW w:type="dxa" w:w="1500"/>
            <w:shd w:fill="FFFFFF" w:val="clear"/>
            <w:tcMar>
              <w:top w:type="dxa" w:w="60"/>
              <w:left w:type="dxa" w:w="100"/>
              <w:bottom w:type="dxa" w:w="60"/>
              <w:right w:type="dxa" w:w="100"/>
            </w:tcMar>
          </w:tcPr>
          <w:p>
            <w:r>
              <w:rPr>
                <w:rFonts w:ascii="Calibri" w:cs="Calibri" w:eastAsia="Calibri" w:hAnsi="Calibri"/>
                <w:sz w:val="20"/>
                <w:szCs w:val="20"/>
              </w:rPr>
              <w:t xml:space="preserve">Externa</w:t>
            </w:r>
          </w:p>
        </w:tc>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8-16h</w:t>
            </w:r>
          </w:p>
        </w:tc>
        <w:tc>
          <w:tcPr>
            <w:tcW w:type="dxa" w:w="2726"/>
            <w:shd w:fill="FFFFFF" w:val="clear"/>
            <w:tcMar>
              <w:top w:type="dxa" w:w="60"/>
              <w:left w:type="dxa" w:w="100"/>
              <w:bottom w:type="dxa" w:w="60"/>
              <w:right w:type="dxa" w:w="100"/>
            </w:tcMar>
          </w:tcPr>
          <w:p>
            <w:r>
              <w:rPr>
                <w:rFonts w:ascii="Calibri" w:cs="Calibri" w:eastAsia="Calibri" w:hAnsi="Calibri"/>
                <w:sz w:val="20"/>
                <w:szCs w:val="20"/>
              </w:rPr>
              <w:t xml:space="preserve">Bienal</w:t>
            </w:r>
          </w:p>
        </w:tc>
      </w:tr>
      <w:tr>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Peer support: formación específica para profesionales entre iguales</w:t>
            </w:r>
          </w:p>
        </w:tc>
        <w:tc>
          <w:tcPr>
            <w:tcW w:type="dxa" w:w="1500"/>
            <w:shd w:fill="F2F2F2" w:val="clear"/>
            <w:tcMar>
              <w:top w:type="dxa" w:w="60"/>
              <w:left w:type="dxa" w:w="100"/>
              <w:bottom w:type="dxa" w:w="60"/>
              <w:right w:type="dxa" w:w="100"/>
            </w:tcMar>
          </w:tcPr>
          <w:p>
            <w:r>
              <w:rPr>
                <w:rFonts w:ascii="Calibri" w:cs="Calibri" w:eastAsia="Calibri" w:hAnsi="Calibri"/>
                <w:sz w:val="20"/>
                <w:szCs w:val="20"/>
              </w:rPr>
              <w:t xml:space="preserve">Externa</w:t>
            </w:r>
          </w:p>
        </w:tc>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20-40h</w:t>
            </w:r>
          </w:p>
        </w:tc>
        <w:tc>
          <w:tcPr>
            <w:tcW w:type="dxa" w:w="2726"/>
            <w:shd w:fill="F2F2F2" w:val="clear"/>
            <w:tcMar>
              <w:top w:type="dxa" w:w="60"/>
              <w:left w:type="dxa" w:w="100"/>
              <w:bottom w:type="dxa" w:w="60"/>
              <w:right w:type="dxa" w:w="100"/>
            </w:tcMar>
          </w:tcPr>
          <w:p>
            <w:r>
              <w:rPr>
                <w:rFonts w:ascii="Calibri" w:cs="Calibri" w:eastAsia="Calibri" w:hAnsi="Calibri"/>
                <w:sz w:val="20"/>
                <w:szCs w:val="20"/>
              </w:rPr>
              <w:t xml:space="preserve">Inicial + actualización</w:t>
            </w:r>
          </w:p>
        </w:tc>
      </w:tr>
    </w:tbl>
    <w:p>
      <w:pPr>
        <w:pStyle w:val="Heading2"/>
        <w:shd w:fill="2E75B6" w:val="clear"/>
        <w:spacing w:after="120" w:before="200"/>
      </w:pPr>
      <w:r>
        <w:rPr>
          <w:rFonts w:ascii="Calibri" w:cs="Calibri" w:eastAsia="Calibri" w:hAnsi="Calibri"/>
          <w:b/>
          <w:bCs/>
          <w:color w:val="FFFFFF"/>
          <w:sz w:val="26"/>
          <w:szCs w:val="26"/>
        </w:rPr>
        <w:t xml:space="preserve">20.5 Plantilla de Supervisión de Caso</w:t>
      </w:r>
    </w:p>
    <w:p>
      <w:pPr>
        <w:spacing w:after="100" w:before="100"/>
        <w:jc w:val="both"/>
      </w:pPr>
      <w:r>
        <w:rPr>
          <w:rFonts w:ascii="Calibri" w:cs="Calibri" w:eastAsia="Calibri" w:hAnsi="Calibri"/>
          <w:b w:val="false"/>
          <w:bCs w:val="false"/>
          <w:i w:val="false"/>
          <w:iCs w:val="false"/>
          <w:color w:val="000000"/>
          <w:sz w:val="22"/>
          <w:szCs w:val="22"/>
        </w:rPr>
        <w:t xml:space="preserve">Se presenta a continuación una plantilla para la supervisión de casos individuales complejos en reuniones de equipo: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9026"/>
            <w:gridSpan w:val="2"/>
            <w:shd w:fill="1F4E79" w:val="clear"/>
            <w:tcMar>
              <w:top w:type="dxa" w:w="80"/>
              <w:left w:type="dxa" w:w="120"/>
              <w:bottom w:type="dxa" w:w="80"/>
              <w:right w:type="dxa" w:w="120"/>
            </w:tcMar>
          </w:tcPr>
          <w:p>
            <w:pPr>
              <w:jc w:val="center"/>
            </w:pPr>
            <w:r>
              <w:rPr>
                <w:rFonts w:ascii="Calibri" w:cs="Calibri" w:eastAsia="Calibri" w:hAnsi="Calibri"/>
                <w:b/>
                <w:bCs/>
                <w:color w:val="FFFFFF"/>
                <w:sz w:val="22"/>
                <w:szCs w:val="22"/>
              </w:rPr>
              <w:t xml:space="preserve">PLANTILLA DE SUPERVISIÓN DE CASO —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Código de caso: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HF-[CÓDIGO] (sin datos identificativos)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Profesional que presenta: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[Cargo / iniciales]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Fecha de supervisión: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__ / 20__</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Tiempo en el programa: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meses desde ingreso (__ / __ / 20__)</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DESCRIPCIÓN DE LA SITUACIÓN ACTUAL</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Resumen de la situación: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Motivo por el que se trae a supervisión: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¿Qué ha intentado el/la profesional hasta ahora?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¿Qué ha funcionado? ¿Qué no?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ANÁLISIS DEL CASO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Factores de riesgo identificados: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Factores de protección identificados: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Hipótesis de trabajo: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¿Hay dilema ético implicado?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Descripción: ___</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APORTACIONES DEL EQUIPO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Perspectivas aportadas por otros miembros: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Sugerencias de acción: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DECISIONES Y SEGUIMIENTO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Acciones acordadas: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Responsable de cada acción: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Plazo de seguimiento: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Próxima revisión en supervisión: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__ / 20__ (si procede)</w:t>
            </w:r>
          </w:p>
        </w:tc>
      </w:tr>
    </w:tbl>
    <w:p>
      <w:pPr>
        <w:pStyle w:val="Heading1"/>
        <w:pageBreakBefore/>
        <w:shd w:fill="1F4E79" w:val="clear"/>
        <w:spacing w:after="200" w:before="240"/>
      </w:pPr>
      <w:r>
        <w:rPr>
          <w:rFonts w:ascii="Calibri" w:cs="Calibri" w:eastAsia="Calibri" w:hAnsi="Calibri"/>
          <w:b/>
          <w:bCs/>
          <w:color w:val="FFFFFF"/>
          <w:sz w:val="32"/>
          <w:szCs w:val="32"/>
        </w:rPr>
        <w:t xml:space="preserve">MÓDULO 21: MARCO ÉTICO Y DEONTOLÓGICO</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Objetivo del módulo</w:t>
            </w:r>
          </w:p>
          <w:p>
            <w:pPr>
              <w:spacing w:after="60" w:before="60"/>
            </w:pPr>
            <w:r>
              <w:rPr>
                <w:rFonts w:ascii="Calibri" w:cs="Calibri" w:eastAsia="Calibri" w:hAnsi="Calibri"/>
                <w:sz w:val="22"/>
                <w:szCs w:val="22"/>
              </w:rPr>
              <w:t xml:space="preserve">Analizar los principios éticos que fundamentan la práctica profesional en programas Housing First, identificar los principales dilemas éticos que emergen en la intervención cotidiana, y desarrollar herramientas para su gestión reflexiva y documentada.</w:t>
            </w:r>
          </w:p>
        </w:tc>
      </w:tr>
    </w:tbl>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21.1 Principios Éticos en Housing First</w:t>
      </w:r>
    </w:p>
    <w:p>
      <w:pPr>
        <w:spacing w:after="100" w:before="100"/>
        <w:jc w:val="both"/>
      </w:pPr>
      <w:r>
        <w:rPr>
          <w:rFonts w:ascii="Calibri" w:cs="Calibri" w:eastAsia="Calibri" w:hAnsi="Calibri"/>
          <w:b w:val="false"/>
          <w:bCs w:val="false"/>
          <w:i w:val="false"/>
          <w:iCs w:val="false"/>
          <w:color w:val="000000"/>
          <w:sz w:val="22"/>
          <w:szCs w:val="22"/>
        </w:rPr>
        <w:t xml:space="preserve">El modelo Housing First no es solo una tecnología de intervención: es también una propuesta ética sobre cómo deben relacionarse los profesionales con las personas en situación de exclusión extrema. Sus principios metodológicos tienen un fundamento ético explícito.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Principio ético</w:t>
            </w:r>
          </w:p>
        </w:tc>
        <w:tc>
          <w:tcPr>
            <w:tcW w:type="dxa" w:w="30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Fundamento filosófico</w:t>
            </w:r>
          </w:p>
        </w:tc>
        <w:tc>
          <w:tcPr>
            <w:tcW w:type="dxa" w:w="40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Implicación práctica</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Respeto a la autonomía</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Principio de autonomía (Beauchamp y Childress). Capacidad de las personas para gobernarse a sí mismas.</w:t>
            </w:r>
          </w:p>
        </w:tc>
        <w:tc>
          <w:tcPr>
            <w:tcW w:type="dxa" w:w="4026"/>
            <w:shd w:fill="F2F2F2" w:val="clear"/>
            <w:tcMar>
              <w:top w:type="dxa" w:w="60"/>
              <w:left w:type="dxa" w:w="100"/>
              <w:bottom w:type="dxa" w:w="60"/>
              <w:right w:type="dxa" w:w="100"/>
            </w:tcMar>
          </w:tcPr>
          <w:p>
            <w:r>
              <w:rPr>
                <w:rFonts w:ascii="Calibri" w:cs="Calibri" w:eastAsia="Calibri" w:hAnsi="Calibri"/>
                <w:sz w:val="20"/>
                <w:szCs w:val="20"/>
              </w:rPr>
              <w:t xml:space="preserve">No exigir abstinencia ni cumplimiento de objetivos como condición de acceso o permanencia en el programa.</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No maleficencia</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Primum non nocere. Obligación de no causar daño.</w:t>
            </w:r>
          </w:p>
        </w:tc>
        <w:tc>
          <w:tcPr>
            <w:tcW w:type="dxa" w:w="4026"/>
            <w:shd w:fill="FFFFFF" w:val="clear"/>
            <w:tcMar>
              <w:top w:type="dxa" w:w="60"/>
              <w:left w:type="dxa" w:w="100"/>
              <w:bottom w:type="dxa" w:w="60"/>
              <w:right w:type="dxa" w:w="100"/>
            </w:tcMar>
          </w:tcPr>
          <w:p>
            <w:r>
              <w:rPr>
                <w:rFonts w:ascii="Calibri" w:cs="Calibri" w:eastAsia="Calibri" w:hAnsi="Calibri"/>
                <w:sz w:val="20"/>
                <w:szCs w:val="20"/>
              </w:rPr>
              <w:t xml:space="preserve">Evitar intervenciones coercitivas o paternalistas que vulneren la dignidad. No registrar información innecesaria.</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Beneficencia</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Obligación de actuar en el mejor interés de la persona.</w:t>
            </w:r>
          </w:p>
        </w:tc>
        <w:tc>
          <w:tcPr>
            <w:tcW w:type="dxa" w:w="4026"/>
            <w:shd w:fill="F2F2F2" w:val="clear"/>
            <w:tcMar>
              <w:top w:type="dxa" w:w="60"/>
              <w:left w:type="dxa" w:w="100"/>
              <w:bottom w:type="dxa" w:w="60"/>
              <w:right w:type="dxa" w:w="100"/>
            </w:tcMar>
          </w:tcPr>
          <w:p>
            <w:r>
              <w:rPr>
                <w:rFonts w:ascii="Calibri" w:cs="Calibri" w:eastAsia="Calibri" w:hAnsi="Calibri"/>
                <w:sz w:val="20"/>
                <w:szCs w:val="20"/>
              </w:rPr>
              <w:t xml:space="preserve">Intervenir activamente para mejorar la situación, pero respetando las prioridades de la propia persona.</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Justicia</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Distribución equitativa de recursos y acceso a derechos.</w:t>
            </w:r>
          </w:p>
        </w:tc>
        <w:tc>
          <w:tcPr>
            <w:tcW w:type="dxa" w:w="4026"/>
            <w:shd w:fill="FFFFFF" w:val="clear"/>
            <w:tcMar>
              <w:top w:type="dxa" w:w="60"/>
              <w:left w:type="dxa" w:w="100"/>
              <w:bottom w:type="dxa" w:w="60"/>
              <w:right w:type="dxa" w:w="100"/>
            </w:tcMar>
          </w:tcPr>
          <w:p>
            <w:r>
              <w:rPr>
                <w:rFonts w:ascii="Calibri" w:cs="Calibri" w:eastAsia="Calibri" w:hAnsi="Calibri"/>
                <w:sz w:val="20"/>
                <w:szCs w:val="20"/>
              </w:rPr>
              <w:t xml:space="preserve">Priorizar a quienes llevan más tiempo en calle o tienen mayor vulnerabilidad. No discriminar.</w:t>
            </w:r>
          </w:p>
        </w:tc>
      </w:tr>
      <w:tr>
        <w:tc>
          <w:tcPr>
            <w:tcW w:type="dxa" w:w="2000"/>
            <w:shd w:fill="F2F2F2" w:val="clear"/>
            <w:tcMar>
              <w:top w:type="dxa" w:w="60"/>
              <w:left w:type="dxa" w:w="100"/>
              <w:bottom w:type="dxa" w:w="60"/>
              <w:right w:type="dxa" w:w="100"/>
            </w:tcMar>
          </w:tcPr>
          <w:p>
            <w:r>
              <w:rPr>
                <w:rFonts w:ascii="Calibri" w:cs="Calibri" w:eastAsia="Calibri" w:hAnsi="Calibri"/>
                <w:sz w:val="20"/>
                <w:szCs w:val="20"/>
              </w:rPr>
              <w:t xml:space="preserve">Dignidad humana</w:t>
            </w:r>
          </w:p>
        </w:tc>
        <w:tc>
          <w:tcPr>
            <w:tcW w:type="dxa" w:w="3000"/>
            <w:shd w:fill="F2F2F2" w:val="clear"/>
            <w:tcMar>
              <w:top w:type="dxa" w:w="60"/>
              <w:left w:type="dxa" w:w="100"/>
              <w:bottom w:type="dxa" w:w="60"/>
              <w:right w:type="dxa" w:w="100"/>
            </w:tcMar>
          </w:tcPr>
          <w:p>
            <w:r>
              <w:rPr>
                <w:rFonts w:ascii="Calibri" w:cs="Calibri" w:eastAsia="Calibri" w:hAnsi="Calibri"/>
                <w:sz w:val="20"/>
                <w:szCs w:val="20"/>
              </w:rPr>
              <w:t xml:space="preserve">Reconocimiento incondicional del valor de toda persona.</w:t>
            </w:r>
          </w:p>
        </w:tc>
        <w:tc>
          <w:tcPr>
            <w:tcW w:type="dxa" w:w="4026"/>
            <w:shd w:fill="F2F2F2" w:val="clear"/>
            <w:tcMar>
              <w:top w:type="dxa" w:w="60"/>
              <w:left w:type="dxa" w:w="100"/>
              <w:bottom w:type="dxa" w:w="60"/>
              <w:right w:type="dxa" w:w="100"/>
            </w:tcMar>
          </w:tcPr>
          <w:p>
            <w:r>
              <w:rPr>
                <w:rFonts w:ascii="Calibri" w:cs="Calibri" w:eastAsia="Calibri" w:hAnsi="Calibri"/>
                <w:sz w:val="20"/>
                <w:szCs w:val="20"/>
              </w:rPr>
              <w:t xml:space="preserve">Trato respetuoso en todo momento. Evitar el lenguaje estigmatizante.</w:t>
            </w:r>
          </w:p>
        </w:tc>
      </w:tr>
      <w:tr>
        <w:tc>
          <w:tcPr>
            <w:tcW w:type="dxa" w:w="2000"/>
            <w:shd w:fill="FFFFFF" w:val="clear"/>
            <w:tcMar>
              <w:top w:type="dxa" w:w="60"/>
              <w:left w:type="dxa" w:w="100"/>
              <w:bottom w:type="dxa" w:w="60"/>
              <w:right w:type="dxa" w:w="100"/>
            </w:tcMar>
          </w:tcPr>
          <w:p>
            <w:r>
              <w:rPr>
                <w:rFonts w:ascii="Calibri" w:cs="Calibri" w:eastAsia="Calibri" w:hAnsi="Calibri"/>
                <w:sz w:val="20"/>
                <w:szCs w:val="20"/>
              </w:rPr>
              <w:t xml:space="preserve">Participación</w:t>
            </w:r>
          </w:p>
        </w:tc>
        <w:tc>
          <w:tcPr>
            <w:tcW w:type="dxa" w:w="3000"/>
            <w:shd w:fill="FFFFFF" w:val="clear"/>
            <w:tcMar>
              <w:top w:type="dxa" w:w="60"/>
              <w:left w:type="dxa" w:w="100"/>
              <w:bottom w:type="dxa" w:w="60"/>
              <w:right w:type="dxa" w:w="100"/>
            </w:tcMar>
          </w:tcPr>
          <w:p>
            <w:r>
              <w:rPr>
                <w:rFonts w:ascii="Calibri" w:cs="Calibri" w:eastAsia="Calibri" w:hAnsi="Calibri"/>
                <w:sz w:val="20"/>
                <w:szCs w:val="20"/>
              </w:rPr>
              <w:t xml:space="preserve">Derecho a tomar parte en las decisiones que afectan a la propia vida.</w:t>
            </w:r>
          </w:p>
        </w:tc>
        <w:tc>
          <w:tcPr>
            <w:tcW w:type="dxa" w:w="4026"/>
            <w:shd w:fill="FFFFFF" w:val="clear"/>
            <w:tcMar>
              <w:top w:type="dxa" w:w="60"/>
              <w:left w:type="dxa" w:w="100"/>
              <w:bottom w:type="dxa" w:w="60"/>
              <w:right w:type="dxa" w:w="100"/>
            </w:tcMar>
          </w:tcPr>
          <w:p>
            <w:r>
              <w:rPr>
                <w:rFonts w:ascii="Calibri" w:cs="Calibri" w:eastAsia="Calibri" w:hAnsi="Calibri"/>
                <w:sz w:val="20"/>
                <w:szCs w:val="20"/>
              </w:rPr>
              <w:t xml:space="preserve">Co-diseño del plan de intervención. Reuniones de participación. Derecho a queja y recurso.</w:t>
            </w:r>
          </w:p>
        </w:tc>
      </w:tr>
    </w:tbl>
    <w:p>
      <w:pPr>
        <w:pStyle w:val="Heading2"/>
        <w:shd w:fill="2E75B6" w:val="clear"/>
        <w:spacing w:after="120" w:before="200"/>
      </w:pPr>
      <w:r>
        <w:rPr>
          <w:rFonts w:ascii="Calibri" w:cs="Calibri" w:eastAsia="Calibri" w:hAnsi="Calibri"/>
          <w:b/>
          <w:bCs/>
          <w:color w:val="FFFFFF"/>
          <w:sz w:val="26"/>
          <w:szCs w:val="26"/>
        </w:rPr>
        <w:t xml:space="preserve">21.2 Dilemas Éticos Frecuentes y su Gestión</w:t>
      </w:r>
    </w:p>
    <w:p>
      <w:pPr>
        <w:spacing w:after="100" w:before="100"/>
        <w:jc w:val="both"/>
      </w:pPr>
      <w:r>
        <w:rPr>
          <w:rFonts w:ascii="Calibri" w:cs="Calibri" w:eastAsia="Calibri" w:hAnsi="Calibri"/>
          <w:b w:val="false"/>
          <w:bCs w:val="false"/>
          <w:i w:val="false"/>
          <w:iCs w:val="false"/>
          <w:color w:val="000000"/>
          <w:sz w:val="22"/>
          <w:szCs w:val="22"/>
        </w:rPr>
        <w:t xml:space="preserve">Los dilemas éticos emergen cuando dos principios éticos igualmente válidos entran en conflicto. En Housing First, los más frecuentes son:</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CE4D6"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Dilema 1: Autonomía vs. Protección</w:t>
            </w:r>
          </w:p>
          <w:p>
            <w:pPr>
              <w:spacing w:after="60" w:before="60"/>
            </w:pPr>
            <w:r>
              <w:rPr>
                <w:rFonts w:ascii="Calibri" w:cs="Calibri" w:eastAsia="Calibri" w:hAnsi="Calibri"/>
                <w:sz w:val="22"/>
                <w:szCs w:val="22"/>
              </w:rPr>
              <w:t xml:space="preserve">Situación: Una persona usuaria consume heroína en su domicilio. Tiene derecho a hacerlo (autonomía), pero el consumo genera riesgo de sobredosis (protección).</w:t>
            </w:r>
          </w:p>
          <w:p>
            <w:pPr>
              <w:spacing w:after="60" w:before="60"/>
            </w:pPr>
            <w:r>
              <w:rPr>
                <w:rFonts w:ascii="Calibri" w:cs="Calibri" w:eastAsia="Calibri" w:hAnsi="Calibri"/>
                <w:sz w:val="22"/>
                <w:szCs w:val="22"/>
              </w:rPr>
              <w:t xml:space="preserve">Gestión recomendada: Aplicar principios de reducción de daños. Ofrecer recursos (naloxona, programa de mantenimiento) sin imponerlos. Documentar la oferta y la decisión de la persona. Revisar periódicamente.</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CE4D6"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Dilema 2: Confidencialidad vs. Deber de Protección a Terceros</w:t>
            </w:r>
          </w:p>
          <w:p>
            <w:pPr>
              <w:spacing w:after="60" w:before="60"/>
            </w:pPr>
            <w:r>
              <w:rPr>
                <w:rFonts w:ascii="Calibri" w:cs="Calibri" w:eastAsia="Calibri" w:hAnsi="Calibri"/>
                <w:sz w:val="22"/>
                <w:szCs w:val="22"/>
              </w:rPr>
              <w:t xml:space="preserve">Situación: Un usuario expresa ideación de daño a un tercero identificado. La confidencialidad obliga a no revelar, pero el deber de protección puede obligar a actuar.</w:t>
            </w:r>
          </w:p>
          <w:p>
            <w:pPr>
              <w:spacing w:after="60" w:before="60"/>
            </w:pPr>
            <w:r>
              <w:rPr>
                <w:rFonts w:ascii="Calibri" w:cs="Calibri" w:eastAsia="Calibri" w:hAnsi="Calibri"/>
                <w:sz w:val="22"/>
                <w:szCs w:val="22"/>
              </w:rPr>
              <w:t xml:space="preserve">Gestión recomendada: Consultar inmediatamente con supervisor/a y equipo. Valorar la verosimilitud y la inminencia del riesgo. Si hay riesgo real e inminente: comunicar a las autoridades competentes. Documentar todo el proceso de toma de decisión.</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CE4D6"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Dilema 3: Interés Individual vs. Sostenibilidad del Programa</w:t>
            </w:r>
          </w:p>
          <w:p>
            <w:pPr>
              <w:spacing w:after="60" w:before="60"/>
            </w:pPr>
            <w:r>
              <w:rPr>
                <w:rFonts w:ascii="Calibri" w:cs="Calibri" w:eastAsia="Calibri" w:hAnsi="Calibri"/>
                <w:sz w:val="22"/>
                <w:szCs w:val="22"/>
              </w:rPr>
              <w:t xml:space="preserve">Situación: Un usuario genera conflictos repetidos con propietario y vecinos. Mantenerlo en el piso pone en riesgo el acceso futuro de otras personas al programa.</w:t>
            </w:r>
          </w:p>
          <w:p>
            <w:pPr>
              <w:spacing w:after="60" w:before="60"/>
            </w:pPr>
            <w:r>
              <w:rPr>
                <w:rFonts w:ascii="Calibri" w:cs="Calibri" w:eastAsia="Calibri" w:hAnsi="Calibri"/>
                <w:sz w:val="22"/>
                <w:szCs w:val="22"/>
              </w:rPr>
              <w:t xml:space="preserve">Gestión recomendada: Agotar todas las estrategias de mediación. Si el conflicto persiste, explorar alternativas de reubicación. La baja del programa debe ser siempre el último recurso y documentarse ética y procedimentalmente.</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55A11" w:sz="4"/>
              <w:left w:val="single" w:color="C55A11" w:sz="12"/>
              <w:bottom w:val="single" w:color="C55A11" w:sz="4"/>
              <w:right w:val="none"/>
            </w:tcBorders>
            <w:shd w:fill="FCE4D6" w:val="clear"/>
            <w:tcMar>
              <w:top w:type="dxa" w:w="100"/>
              <w:left w:type="dxa" w:w="150"/>
              <w:bottom w:type="dxa" w:w="100"/>
              <w:right w:type="dxa" w:w="150"/>
            </w:tcMar>
          </w:tcPr>
          <w:p>
            <w:pPr>
              <w:spacing w:after="80" w:before="80"/>
            </w:pPr>
            <w:r>
              <w:rPr>
                <w:rFonts w:ascii="Calibri" w:cs="Calibri" w:eastAsia="Calibri" w:hAnsi="Calibri"/>
                <w:b/>
                <w:bCs/>
                <w:color w:val="C55A11"/>
                <w:sz w:val="24"/>
                <w:szCs w:val="24"/>
              </w:rPr>
              <w:t xml:space="preserve">Dilema 4: Límites del Rol Profesional</w:t>
            </w:r>
          </w:p>
          <w:p>
            <w:pPr>
              <w:spacing w:after="60" w:before="60"/>
            </w:pPr>
            <w:r>
              <w:rPr>
                <w:rFonts w:ascii="Calibri" w:cs="Calibri" w:eastAsia="Calibri" w:hAnsi="Calibri"/>
                <w:sz w:val="22"/>
                <w:szCs w:val="22"/>
              </w:rPr>
              <w:t xml:space="preserve">Situación: Un usuario pide dinero al profesional, solicita amistad más allá del ámbito profesional o propone intercambios.</w:t>
            </w:r>
          </w:p>
          <w:p>
            <w:pPr>
              <w:spacing w:after="60" w:before="60"/>
            </w:pPr>
            <w:r>
              <w:rPr>
                <w:rFonts w:ascii="Calibri" w:cs="Calibri" w:eastAsia="Calibri" w:hAnsi="Calibri"/>
                <w:sz w:val="22"/>
                <w:szCs w:val="22"/>
              </w:rPr>
              <w:t xml:space="preserve">Gestión recomendada: Mantener los límites del rol de forma clara y cálida. Ni la cercanía del modelo HF ni la situación de vulnerabilidad del usuario justifican traspasar los límites éticos y deontológicos. Llevar a supervisión.</w:t>
            </w:r>
          </w:p>
        </w:tc>
      </w:tr>
    </w:tbl>
    <w:p>
      <w:pPr>
        <w:pStyle w:val="Heading2"/>
        <w:shd w:fill="2E75B6" w:val="clear"/>
        <w:spacing w:after="120" w:before="200"/>
      </w:pPr>
      <w:r>
        <w:rPr>
          <w:rFonts w:ascii="Calibri" w:cs="Calibri" w:eastAsia="Calibri" w:hAnsi="Calibri"/>
          <w:b/>
          <w:bCs/>
          <w:color w:val="FFFFFF"/>
          <w:sz w:val="26"/>
          <w:szCs w:val="26"/>
        </w:rPr>
        <w:t xml:space="preserve">21.3 Autonomía versus Protección: El Debate Central</w:t>
      </w:r>
    </w:p>
    <w:p>
      <w:pPr>
        <w:spacing w:after="100" w:before="100"/>
        <w:jc w:val="both"/>
      </w:pPr>
      <w:r>
        <w:rPr>
          <w:rFonts w:ascii="Calibri" w:cs="Calibri" w:eastAsia="Calibri" w:hAnsi="Calibri"/>
          <w:b w:val="false"/>
          <w:bCs w:val="false"/>
          <w:i w:val="false"/>
          <w:iCs w:val="false"/>
          <w:color w:val="000000"/>
          <w:sz w:val="22"/>
          <w:szCs w:val="22"/>
        </w:rPr>
        <w:t xml:space="preserve">El debate entre autonomía y protección (paternalismo) es el más recurrente y profundo en la ética de Housing First. El modelo se posiciona claramente a favor de la autonomía, pero ello no significa abandonar la responsabilidad de proteger a las personas cuando no están en condiciones de decidir por sí mismas.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Sam Tsemberis, creador del modelo, utilizó la expresión "choice without coercion" (elección sin coerción) para describir la posición ética central de Housing First: ofrecer opciones reales, no imponer decisiones, pero tampoco abandonar a la persona a su suerte.</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En la práctica, esta posición requiere:</w:t>
      </w:r>
    </w:p>
    <w:p>
      <w:pPr>
        <w:pStyle w:val="ListParagraph"/>
        <w:numPr>
          <w:ilvl w:val="0"/>
          <w:numId w:val="3"/>
        </w:numPr>
        <w:spacing w:after="80" w:before="80"/>
        <w:ind w:left="360"/>
      </w:pPr>
      <w:r>
        <w:rPr>
          <w:rFonts w:ascii="Calibri" w:cs="Calibri" w:eastAsia="Calibri" w:hAnsi="Calibri"/>
          <w:sz w:val="22"/>
          <w:szCs w:val="22"/>
        </w:rPr>
        <w:t xml:space="preserve">Valorar la capacidad de decisión de la persona, no simplemente su diagnóstico.</w:t>
      </w:r>
    </w:p>
    <w:p>
      <w:pPr>
        <w:pStyle w:val="ListParagraph"/>
        <w:numPr>
          <w:ilvl w:val="0"/>
          <w:numId w:val="3"/>
        </w:numPr>
        <w:spacing w:after="80" w:before="80"/>
        <w:ind w:left="360"/>
      </w:pPr>
      <w:r>
        <w:rPr>
          <w:rFonts w:ascii="Calibri" w:cs="Calibri" w:eastAsia="Calibri" w:hAnsi="Calibri"/>
          <w:sz w:val="22"/>
          <w:szCs w:val="22"/>
        </w:rPr>
        <w:t xml:space="preserve">Distinguir entre decisiones que solo afectan a la propia persona (máxima autonomía) y decisiones que afectan a terceros (puede justificarse mayor intervención).</w:t>
      </w:r>
    </w:p>
    <w:p>
      <w:pPr>
        <w:pStyle w:val="ListParagraph"/>
        <w:numPr>
          <w:ilvl w:val="0"/>
          <w:numId w:val="3"/>
        </w:numPr>
        <w:spacing w:after="80" w:before="80"/>
        <w:ind w:left="360"/>
      </w:pPr>
      <w:r>
        <w:rPr>
          <w:rFonts w:ascii="Calibri" w:cs="Calibri" w:eastAsia="Calibri" w:hAnsi="Calibri"/>
          <w:sz w:val="22"/>
          <w:szCs w:val="22"/>
        </w:rPr>
        <w:t xml:space="preserve">Documentar sistemáticamente las intervenciones realizadas y las decisiones de la persona, como registro del respeto a su autonomía.</w:t>
      </w:r>
    </w:p>
    <w:p>
      <w:pPr>
        <w:pStyle w:val="ListParagraph"/>
        <w:numPr>
          <w:ilvl w:val="0"/>
          <w:numId w:val="3"/>
        </w:numPr>
        <w:spacing w:after="80" w:before="80"/>
        <w:ind w:left="360"/>
      </w:pPr>
      <w:r>
        <w:rPr>
          <w:rFonts w:ascii="Calibri" w:cs="Calibri" w:eastAsia="Calibri" w:hAnsi="Calibri"/>
          <w:sz w:val="22"/>
          <w:szCs w:val="22"/>
        </w:rPr>
        <w:t xml:space="preserve">Consultar en supervisión cuando existan dudas sobre la capacidad de decidir de una persona.</w:t>
      </w:r>
    </w:p>
    <w:p>
      <w:pPr>
        <w:pStyle w:val="ListParagraph"/>
        <w:numPr>
          <w:ilvl w:val="0"/>
          <w:numId w:val="3"/>
        </w:numPr>
        <w:spacing w:after="80" w:before="80"/>
        <w:ind w:left="360"/>
      </w:pPr>
      <w:r>
        <w:rPr>
          <w:rFonts w:ascii="Calibri" w:cs="Calibri" w:eastAsia="Calibri" w:hAnsi="Calibri"/>
          <w:sz w:val="22"/>
          <w:szCs w:val="22"/>
        </w:rPr>
        <w:t xml:space="preserve">En casos extremos (riesgo vital inminente y falta total de capacidad), actuar protegiendo y documentar el proceso de toma de decisión.</w:t>
      </w:r>
    </w:p>
    <w:p>
      <w:pPr>
        <w:pStyle w:val="Heading2"/>
        <w:shd w:fill="2E75B6" w:val="clear"/>
        <w:spacing w:after="120" w:before="200"/>
      </w:pPr>
      <w:r>
        <w:rPr>
          <w:rFonts w:ascii="Calibri" w:cs="Calibri" w:eastAsia="Calibri" w:hAnsi="Calibri"/>
          <w:b/>
          <w:bCs/>
          <w:color w:val="FFFFFF"/>
          <w:sz w:val="26"/>
          <w:szCs w:val="26"/>
        </w:rPr>
        <w:t xml:space="preserve">21.4 Confidencialidad y Protección de Datos (LOPD/RGPD)</w:t>
      </w:r>
    </w:p>
    <w:p>
      <w:pPr>
        <w:spacing w:after="100" w:before="100"/>
        <w:jc w:val="both"/>
      </w:pPr>
      <w:r>
        <w:rPr>
          <w:rFonts w:ascii="Calibri" w:cs="Calibri" w:eastAsia="Calibri" w:hAnsi="Calibri"/>
          <w:b w:val="false"/>
          <w:bCs w:val="false"/>
          <w:i w:val="false"/>
          <w:iCs w:val="false"/>
          <w:color w:val="000000"/>
          <w:sz w:val="22"/>
          <w:szCs w:val="22"/>
        </w:rPr>
        <w:t xml:space="preserve">Los programas Housing First gestionan datos especialmente sensibles: salud mental, adicciones, situación jurídica, datos económicos. El cumplimiento de la normativa de protección de datos es una obligación legal y un imperativo ético.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1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Normativa</w:t>
            </w:r>
          </w:p>
        </w:tc>
        <w:tc>
          <w:tcPr>
            <w:tcW w:type="dxa" w:w="1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Ámbito</w:t>
            </w:r>
          </w:p>
        </w:tc>
        <w:tc>
          <w:tcPr>
            <w:tcW w:type="dxa" w:w="60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Aspectos clave para programas HF</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RGPD (Reglamento UE 2016/679)</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Europeo</w:t>
            </w:r>
          </w:p>
        </w:tc>
        <w:tc>
          <w:tcPr>
            <w:tcW w:type="dxa" w:w="6026"/>
            <w:shd w:fill="F2F2F2" w:val="clear"/>
            <w:tcMar>
              <w:top w:type="dxa" w:w="60"/>
              <w:left w:type="dxa" w:w="100"/>
              <w:bottom w:type="dxa" w:w="60"/>
              <w:right w:type="dxa" w:w="100"/>
            </w:tcMar>
          </w:tcPr>
          <w:p>
            <w:r>
              <w:rPr>
                <w:rFonts w:ascii="Calibri" w:cs="Calibri" w:eastAsia="Calibri" w:hAnsi="Calibri"/>
                <w:sz w:val="20"/>
                <w:szCs w:val="20"/>
              </w:rPr>
              <w:t xml:space="preserve">Base legal para el tratamiento (consentimiento o interés legítimo). Derechos ARCO+. Registro de actividades de tratamiento. Evaluación de impacto (si datos sensibles a gran escala).</w:t>
            </w:r>
          </w:p>
        </w:tc>
      </w:tr>
      <w:tr>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LOPDGDD (LO 3/2018)</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6026"/>
            <w:shd w:fill="FFFFFF" w:val="clear"/>
            <w:tcMar>
              <w:top w:type="dxa" w:w="60"/>
              <w:left w:type="dxa" w:w="100"/>
              <w:bottom w:type="dxa" w:w="60"/>
              <w:right w:type="dxa" w:w="100"/>
            </w:tcMar>
          </w:tcPr>
          <w:p>
            <w:r>
              <w:rPr>
                <w:rFonts w:ascii="Calibri" w:cs="Calibri" w:eastAsia="Calibri" w:hAnsi="Calibri"/>
                <w:sz w:val="20"/>
                <w:szCs w:val="20"/>
              </w:rPr>
              <w:t xml:space="preserve">Adaptación española del RGPD. Regula especialmente datos de salud, categorías especiales. Obligación de delegado de protección de datos (DPO) según tamaño.</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Ley 41/2002 (Autonomía del Paciente)</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6026"/>
            <w:shd w:fill="F2F2F2" w:val="clear"/>
            <w:tcMar>
              <w:top w:type="dxa" w:w="60"/>
              <w:left w:type="dxa" w:w="100"/>
              <w:bottom w:type="dxa" w:w="60"/>
              <w:right w:type="dxa" w:w="100"/>
            </w:tcMar>
          </w:tcPr>
          <w:p>
            <w:r>
              <w:rPr>
                <w:rFonts w:ascii="Calibri" w:cs="Calibri" w:eastAsia="Calibri" w:hAnsi="Calibri"/>
                <w:sz w:val="20"/>
                <w:szCs w:val="20"/>
              </w:rPr>
              <w:t xml:space="preserve">Consentimiento informado en intervenciones sanitarias. Historia clínica. Derecho de acceso y rectificación.</w:t>
            </w:r>
          </w:p>
        </w:tc>
      </w:tr>
      <w:tr>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Normativa autonómica de servicios sociales</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Autonómico</w:t>
            </w:r>
          </w:p>
        </w:tc>
        <w:tc>
          <w:tcPr>
            <w:tcW w:type="dxa" w:w="6026"/>
            <w:shd w:fill="FFFFFF" w:val="clear"/>
            <w:tcMar>
              <w:top w:type="dxa" w:w="60"/>
              <w:left w:type="dxa" w:w="100"/>
              <w:bottom w:type="dxa" w:w="60"/>
              <w:right w:type="dxa" w:w="100"/>
            </w:tcMar>
          </w:tcPr>
          <w:p>
            <w:r>
              <w:rPr>
                <w:rFonts w:ascii="Calibri" w:cs="Calibri" w:eastAsia="Calibri" w:hAnsi="Calibri"/>
                <w:sz w:val="20"/>
                <w:szCs w:val="20"/>
              </w:rPr>
              <w:t xml:space="preserve">Cada CCAA tiene regulación propia sobre expedientes de servicios sociales, conservación, acceso. Verificar normativa aplicable en el territorio.</w:t>
            </w:r>
          </w:p>
        </w:tc>
      </w:tr>
    </w:tbl>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Obligaciones prácticas de protección de datos en programas HF</w:t>
            </w:r>
          </w:p>
          <w:p>
            <w:pPr>
              <w:spacing w:after="60" w:before="60"/>
            </w:pPr>
            <w:r>
              <w:rPr>
                <w:rFonts w:ascii="Calibri" w:cs="Calibri" w:eastAsia="Calibri" w:hAnsi="Calibri"/>
                <w:sz w:val="22"/>
                <w:szCs w:val="22"/>
              </w:rPr>
              <w:t xml:space="preserve">1. Consentimiento informado escrito: antes de iniciar cualquier intervención y de recoger cualquier dato personal.</w:t>
            </w:r>
          </w:p>
          <w:p>
            <w:pPr>
              <w:spacing w:after="60" w:before="60"/>
            </w:pPr>
            <w:r>
              <w:rPr>
                <w:rFonts w:ascii="Calibri" w:cs="Calibri" w:eastAsia="Calibri" w:hAnsi="Calibri"/>
                <w:sz w:val="22"/>
                <w:szCs w:val="22"/>
              </w:rPr>
              <w:t xml:space="preserve">2. Principio de minimización: solo recoger los datos estrictamente necesarios para la intervención.</w:t>
            </w:r>
          </w:p>
          <w:p>
            <w:pPr>
              <w:spacing w:after="60" w:before="60"/>
            </w:pPr>
            <w:r>
              <w:rPr>
                <w:rFonts w:ascii="Calibri" w:cs="Calibri" w:eastAsia="Calibri" w:hAnsi="Calibri"/>
                <w:sz w:val="22"/>
                <w:szCs w:val="22"/>
              </w:rPr>
              <w:t xml:space="preserve">3. Almacenamiento seguro: expedientes bajo llave; datos digitales con cifrado y control de acceso.</w:t>
            </w:r>
          </w:p>
          <w:p>
            <w:pPr>
              <w:spacing w:after="60" w:before="60"/>
            </w:pPr>
            <w:r>
              <w:rPr>
                <w:rFonts w:ascii="Calibri" w:cs="Calibri" w:eastAsia="Calibri" w:hAnsi="Calibri"/>
                <w:sz w:val="22"/>
                <w:szCs w:val="22"/>
              </w:rPr>
              <w:t xml:space="preserve">4. Derecho de acceso: la persona puede pedir ver su expediente en cualquier momento.</w:t>
            </w:r>
          </w:p>
          <w:p>
            <w:pPr>
              <w:spacing w:after="60" w:before="60"/>
            </w:pPr>
            <w:r>
              <w:rPr>
                <w:rFonts w:ascii="Calibri" w:cs="Calibri" w:eastAsia="Calibri" w:hAnsi="Calibri"/>
                <w:sz w:val="22"/>
                <w:szCs w:val="22"/>
              </w:rPr>
              <w:t xml:space="preserve">5. Derecho de rectificación: la persona puede corregir datos incorrectos.</w:t>
            </w:r>
          </w:p>
          <w:p>
            <w:pPr>
              <w:spacing w:after="60" w:before="60"/>
            </w:pPr>
            <w:r>
              <w:rPr>
                <w:rFonts w:ascii="Calibri" w:cs="Calibri" w:eastAsia="Calibri" w:hAnsi="Calibri"/>
                <w:sz w:val="22"/>
                <w:szCs w:val="22"/>
              </w:rPr>
              <w:t xml:space="preserve">6. Derecho de supresión: una vez finalizada la intervención, los datos se conservan el tiempo mínimo exigido por ley y luego se destruyen.</w:t>
            </w:r>
          </w:p>
          <w:p>
            <w:pPr>
              <w:spacing w:after="60" w:before="60"/>
            </w:pPr>
            <w:r>
              <w:rPr>
                <w:rFonts w:ascii="Calibri" w:cs="Calibri" w:eastAsia="Calibri" w:hAnsi="Calibri"/>
                <w:sz w:val="22"/>
                <w:szCs w:val="22"/>
              </w:rPr>
              <w:t xml:space="preserve">7. Comunicación a terceros: solo con consentimiento explícito y para cada destinatario específico.</w:t>
            </w:r>
          </w:p>
          <w:p>
            <w:pPr>
              <w:spacing w:after="60" w:before="60"/>
            </w:pPr>
            <w:r>
              <w:rPr>
                <w:rFonts w:ascii="Calibri" w:cs="Calibri" w:eastAsia="Calibri" w:hAnsi="Calibri"/>
                <w:sz w:val="22"/>
                <w:szCs w:val="22"/>
              </w:rPr>
              <w:t xml:space="preserve">8. Notificación de brechas: si hay acceso no autorizado a datos, comunicar a la AEPD en 72 horas.</w:t>
            </w:r>
          </w:p>
        </w:tc>
      </w:tr>
    </w:tbl>
    <w:p>
      <w:pPr>
        <w:pStyle w:val="Heading2"/>
        <w:shd w:fill="2E75B6" w:val="clear"/>
        <w:spacing w:after="120" w:before="200"/>
      </w:pPr>
      <w:r>
        <w:rPr>
          <w:rFonts w:ascii="Calibri" w:cs="Calibri" w:eastAsia="Calibri" w:hAnsi="Calibri"/>
          <w:b/>
          <w:bCs/>
          <w:color w:val="FFFFFF"/>
          <w:sz w:val="26"/>
          <w:szCs w:val="26"/>
        </w:rPr>
        <w:t xml:space="preserve">21.5 Consentimiento Informado y Derechos de las Personas Usuarias</w:t>
      </w:r>
    </w:p>
    <w:p>
      <w:pPr>
        <w:spacing w:after="100" w:before="100"/>
        <w:jc w:val="both"/>
      </w:pPr>
      <w:r>
        <w:rPr>
          <w:rFonts w:ascii="Calibri" w:cs="Calibri" w:eastAsia="Calibri" w:hAnsi="Calibri"/>
          <w:b w:val="false"/>
          <w:bCs w:val="false"/>
          <w:i w:val="false"/>
          <w:iCs w:val="false"/>
          <w:color w:val="000000"/>
          <w:sz w:val="22"/>
          <w:szCs w:val="22"/>
        </w:rPr>
        <w:t xml:space="preserve">El consentimiento informado es la piedra angular del respeto a la autonomía. No es un trámite burocrático: es el proceso mediante el cual la persona comprende qué es el programa, qué implica su participación y decide libremente si quiere participar.</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Las condiciones de un consentimiento válido son:</w:t>
      </w:r>
    </w:p>
    <w:p>
      <w:pPr>
        <w:pStyle w:val="ListParagraph"/>
        <w:numPr>
          <w:ilvl w:val="0"/>
          <w:numId w:val="2"/>
        </w:numPr>
        <w:spacing w:after="80" w:before="80"/>
        <w:ind w:left="360"/>
      </w:pPr>
      <w:r>
        <w:rPr>
          <w:rFonts w:ascii="Calibri" w:cs="Calibri" w:eastAsia="Calibri" w:hAnsi="Calibri"/>
          <w:sz w:val="22"/>
          <w:szCs w:val="22"/>
        </w:rPr>
        <w:t xml:space="preserve">Capacidad: la persona debe tener capacidad de comprensión suficiente. Ante dudas sobre la capacidad, consultar con psiquiatría.</w:t>
      </w:r>
    </w:p>
    <w:p>
      <w:pPr>
        <w:pStyle w:val="ListParagraph"/>
        <w:numPr>
          <w:ilvl w:val="0"/>
          <w:numId w:val="2"/>
        </w:numPr>
        <w:spacing w:after="80" w:before="80"/>
        <w:ind w:left="360"/>
      </w:pPr>
      <w:r>
        <w:rPr>
          <w:rFonts w:ascii="Calibri" w:cs="Calibri" w:eastAsia="Calibri" w:hAnsi="Calibri"/>
          <w:sz w:val="22"/>
          <w:szCs w:val="22"/>
        </w:rPr>
        <w:t xml:space="preserve">Información: la persona debe recibir información completa sobre el programa, sus derechos y las implicaciones de su participación, en un lenguaje comprensible.</w:t>
      </w:r>
    </w:p>
    <w:p>
      <w:pPr>
        <w:pStyle w:val="ListParagraph"/>
        <w:numPr>
          <w:ilvl w:val="0"/>
          <w:numId w:val="2"/>
        </w:numPr>
        <w:spacing w:after="80" w:before="80"/>
        <w:ind w:left="360"/>
      </w:pPr>
      <w:r>
        <w:rPr>
          <w:rFonts w:ascii="Calibri" w:cs="Calibri" w:eastAsia="Calibri" w:hAnsi="Calibri"/>
          <w:sz w:val="22"/>
          <w:szCs w:val="22"/>
        </w:rPr>
        <w:t xml:space="preserve">Voluntariedad: el consentimiento no debe ser obtenido bajo presión, coacción o engaño.</w:t>
      </w:r>
    </w:p>
    <w:p>
      <w:pPr>
        <w:pStyle w:val="ListParagraph"/>
        <w:numPr>
          <w:ilvl w:val="0"/>
          <w:numId w:val="2"/>
        </w:numPr>
        <w:spacing w:after="80" w:before="80"/>
        <w:ind w:left="360"/>
      </w:pPr>
      <w:r>
        <w:rPr>
          <w:rFonts w:ascii="Calibri" w:cs="Calibri" w:eastAsia="Calibri" w:hAnsi="Calibri"/>
          <w:sz w:val="22"/>
          <w:szCs w:val="22"/>
        </w:rPr>
        <w:t xml:space="preserve">Revocabilidad: la persona puede retirar su consentimiento en cualquier momento sin que ello afecte a su acceso a otros recursos.</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Los programas Housing First deben garantizar el ejercicio efectivo de los siguientes derechos de las personas usuarias:</w:t>
      </w:r>
    </w:p>
    <w:p>
      <w:pPr>
        <w:pStyle w:val="ListParagraph"/>
        <w:numPr>
          <w:ilvl w:val="0"/>
          <w:numId w:val="3"/>
        </w:numPr>
        <w:spacing w:after="80" w:before="80"/>
        <w:ind w:left="360"/>
      </w:pPr>
      <w:r>
        <w:rPr>
          <w:rFonts w:ascii="Calibri" w:cs="Calibri" w:eastAsia="Calibri" w:hAnsi="Calibri"/>
          <w:sz w:val="22"/>
          <w:szCs w:val="22"/>
        </w:rPr>
        <w:t xml:space="preserve">Derecho a la información: sobre el funcionamiento del programa, sus objetivos y sus limitaciones.</w:t>
      </w:r>
    </w:p>
    <w:p>
      <w:pPr>
        <w:pStyle w:val="ListParagraph"/>
        <w:numPr>
          <w:ilvl w:val="0"/>
          <w:numId w:val="3"/>
        </w:numPr>
        <w:spacing w:after="80" w:before="80"/>
        <w:ind w:left="360"/>
      </w:pPr>
      <w:r>
        <w:rPr>
          <w:rFonts w:ascii="Calibri" w:cs="Calibri" w:eastAsia="Calibri" w:hAnsi="Calibri"/>
          <w:sz w:val="22"/>
          <w:szCs w:val="22"/>
        </w:rPr>
        <w:t xml:space="preserve">Derecho a participar en la elaboración de su plan de intervención.</w:t>
      </w:r>
    </w:p>
    <w:p>
      <w:pPr>
        <w:pStyle w:val="ListParagraph"/>
        <w:numPr>
          <w:ilvl w:val="0"/>
          <w:numId w:val="3"/>
        </w:numPr>
        <w:spacing w:after="80" w:before="80"/>
        <w:ind w:left="360"/>
      </w:pPr>
      <w:r>
        <w:rPr>
          <w:rFonts w:ascii="Calibri" w:cs="Calibri" w:eastAsia="Calibri" w:hAnsi="Calibri"/>
          <w:sz w:val="22"/>
          <w:szCs w:val="22"/>
        </w:rPr>
        <w:t xml:space="preserve">Derecho a la privacidad y la confidencialidad de sus datos.</w:t>
      </w:r>
    </w:p>
    <w:p>
      <w:pPr>
        <w:pStyle w:val="ListParagraph"/>
        <w:numPr>
          <w:ilvl w:val="0"/>
          <w:numId w:val="3"/>
        </w:numPr>
        <w:spacing w:after="80" w:before="80"/>
        <w:ind w:left="360"/>
      </w:pPr>
      <w:r>
        <w:rPr>
          <w:rFonts w:ascii="Calibri" w:cs="Calibri" w:eastAsia="Calibri" w:hAnsi="Calibri"/>
          <w:sz w:val="22"/>
          <w:szCs w:val="22"/>
        </w:rPr>
        <w:t xml:space="preserve">Derecho a rechazar intervenciones o servicios concretos sin perder el acceso al programa.</w:t>
      </w:r>
    </w:p>
    <w:p>
      <w:pPr>
        <w:pStyle w:val="ListParagraph"/>
        <w:numPr>
          <w:ilvl w:val="0"/>
          <w:numId w:val="3"/>
        </w:numPr>
        <w:spacing w:after="80" w:before="80"/>
        <w:ind w:left="360"/>
      </w:pPr>
      <w:r>
        <w:rPr>
          <w:rFonts w:ascii="Calibri" w:cs="Calibri" w:eastAsia="Calibri" w:hAnsi="Calibri"/>
          <w:sz w:val="22"/>
          <w:szCs w:val="22"/>
        </w:rPr>
        <w:t xml:space="preserve">Derecho a presentar quejas y reclamaciones, con procedimiento claro y accesible.</w:t>
      </w:r>
    </w:p>
    <w:p>
      <w:pPr>
        <w:pStyle w:val="ListParagraph"/>
        <w:numPr>
          <w:ilvl w:val="0"/>
          <w:numId w:val="3"/>
        </w:numPr>
        <w:spacing w:after="80" w:before="80"/>
        <w:ind w:left="360"/>
      </w:pPr>
      <w:r>
        <w:rPr>
          <w:rFonts w:ascii="Calibri" w:cs="Calibri" w:eastAsia="Calibri" w:hAnsi="Calibri"/>
          <w:sz w:val="22"/>
          <w:szCs w:val="22"/>
        </w:rPr>
        <w:t xml:space="preserve">Derecho a un trato digno, respetuoso y no discriminatorio.</w:t>
      </w:r>
    </w:p>
    <w:p>
      <w:pPr>
        <w:pStyle w:val="Heading1"/>
        <w:pageBreakBefore/>
        <w:shd w:fill="1F4E79" w:val="clear"/>
        <w:spacing w:after="200" w:before="240"/>
      </w:pPr>
      <w:r>
        <w:rPr>
          <w:rFonts w:ascii="Calibri" w:cs="Calibri" w:eastAsia="Calibri" w:hAnsi="Calibri"/>
          <w:b/>
          <w:bCs/>
          <w:color w:val="FFFFFF"/>
          <w:sz w:val="32"/>
          <w:szCs w:val="32"/>
        </w:rPr>
        <w:t xml:space="preserve">MÓDULO 22: MARCO LEGAL Y NORMATIVO</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Objetivo del módulo</w:t>
            </w:r>
          </w:p>
          <w:p>
            <w:pPr>
              <w:spacing w:after="60" w:before="60"/>
            </w:pPr>
            <w:r>
              <w:rPr>
                <w:rFonts w:ascii="Calibri" w:cs="Calibri" w:eastAsia="Calibri" w:hAnsi="Calibri"/>
                <w:sz w:val="22"/>
                <w:szCs w:val="22"/>
              </w:rPr>
              <w:t xml:space="preserve">Dotar al coordinador/a y a los profesionales de programas Housing First de un conocimiento actualizado del marco normativo aplicable a su trabajo, con especial atención a la normativa sobre servicios sociales, derecho a la vivienda, salud mental, subvenciones públicas y fondos europeos.</w:t>
            </w:r>
          </w:p>
        </w:tc>
      </w:tr>
    </w:tbl>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22.1 Marco Normativo Estatal: Ley de Servicios Sociales y Legislación Aplicable</w:t>
      </w:r>
    </w:p>
    <w:p>
      <w:pPr>
        <w:spacing w:after="100" w:before="100"/>
        <w:jc w:val="both"/>
      </w:pPr>
      <w:r>
        <w:rPr>
          <w:rFonts w:ascii="Calibri" w:cs="Calibri" w:eastAsia="Calibri" w:hAnsi="Calibri"/>
          <w:b w:val="false"/>
          <w:bCs w:val="false"/>
          <w:i w:val="false"/>
          <w:iCs w:val="false"/>
          <w:color w:val="000000"/>
          <w:sz w:val="22"/>
          <w:szCs w:val="22"/>
        </w:rPr>
        <w:t xml:space="preserve">Los programas Housing First se ubican en el sistema de servicios sociales, aunque su carácter intersectorial hace que también estén regulados por normativa sanitaria, de vivienda y de garantía de rentas. Se presentan a continuación las normas estatales más relevantes: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5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Norma</w:t>
            </w:r>
          </w:p>
        </w:tc>
        <w:tc>
          <w:tcPr>
            <w:tcW w:type="dxa" w:w="1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Ámbito</w:t>
            </w:r>
          </w:p>
        </w:tc>
        <w:tc>
          <w:tcPr>
            <w:tcW w:type="dxa" w:w="53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Relevancia para Housing First</w:t>
            </w:r>
          </w:p>
        </w:tc>
      </w:tr>
      <w:tr>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Ley 7/1985, de Bases de Régimen Local</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Local</w:t>
            </w:r>
          </w:p>
        </w:tc>
        <w:tc>
          <w:tcPr>
            <w:tcW w:type="dxa" w:w="5326"/>
            <w:shd w:fill="F2F2F2" w:val="clear"/>
            <w:tcMar>
              <w:top w:type="dxa" w:w="60"/>
              <w:left w:type="dxa" w:w="100"/>
              <w:bottom w:type="dxa" w:w="60"/>
              <w:right w:type="dxa" w:w="100"/>
            </w:tcMar>
          </w:tcPr>
          <w:p>
            <w:r>
              <w:rPr>
                <w:rFonts w:ascii="Calibri" w:cs="Calibri" w:eastAsia="Calibri" w:hAnsi="Calibri"/>
                <w:sz w:val="20"/>
                <w:szCs w:val="20"/>
              </w:rPr>
              <w:t xml:space="preserve">Atribuye a los municipios competencias en servicios sociales de atención primaria. Base legal para que los ayuntamientos financien programas HF.</w:t>
            </w:r>
          </w:p>
        </w:tc>
      </w:tr>
      <w:tr>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Real Decreto Legislativo 1/2013 (Derechos de PcD)</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5326"/>
            <w:shd w:fill="FFFFFF" w:val="clear"/>
            <w:tcMar>
              <w:top w:type="dxa" w:w="60"/>
              <w:left w:type="dxa" w:w="100"/>
              <w:bottom w:type="dxa" w:w="60"/>
              <w:right w:type="dxa" w:w="100"/>
            </w:tcMar>
          </w:tcPr>
          <w:p>
            <w:r>
              <w:rPr>
                <w:rFonts w:ascii="Calibri" w:cs="Calibri" w:eastAsia="Calibri" w:hAnsi="Calibri"/>
                <w:sz w:val="20"/>
                <w:szCs w:val="20"/>
              </w:rPr>
              <w:t xml:space="preserve">Regula derechos de las personas con discapacidad. Aplicable a usuarios con reconocimiento de discapacidad.</w:t>
            </w:r>
          </w:p>
        </w:tc>
      </w:tr>
      <w:tr>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Ley 39/2006, de Dependencia</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5326"/>
            <w:shd w:fill="F2F2F2" w:val="clear"/>
            <w:tcMar>
              <w:top w:type="dxa" w:w="60"/>
              <w:left w:type="dxa" w:w="100"/>
              <w:bottom w:type="dxa" w:w="60"/>
              <w:right w:type="dxa" w:w="100"/>
            </w:tcMar>
          </w:tcPr>
          <w:p>
            <w:r>
              <w:rPr>
                <w:rFonts w:ascii="Calibri" w:cs="Calibri" w:eastAsia="Calibri" w:hAnsi="Calibri"/>
                <w:sz w:val="20"/>
                <w:szCs w:val="20"/>
              </w:rPr>
              <w:t xml:space="preserve">Reconoce el derecho a prestaciones para personas en situación de dependencia. Algunos usuarios HF pueden acceder a prestaciones de dependencia.</w:t>
            </w:r>
          </w:p>
        </w:tc>
      </w:tr>
      <w:tr>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Ley 19/2021 (IMV)</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5326"/>
            <w:shd w:fill="FFFFFF" w:val="clear"/>
            <w:tcMar>
              <w:top w:type="dxa" w:w="60"/>
              <w:left w:type="dxa" w:w="100"/>
              <w:bottom w:type="dxa" w:w="60"/>
              <w:right w:type="dxa" w:w="100"/>
            </w:tcMar>
          </w:tcPr>
          <w:p>
            <w:r>
              <w:rPr>
                <w:rFonts w:ascii="Calibri" w:cs="Calibri" w:eastAsia="Calibri" w:hAnsi="Calibri"/>
                <w:sz w:val="20"/>
                <w:szCs w:val="20"/>
              </w:rPr>
              <w:t xml:space="preserve">Regula el Ingreso Mínimo Vital. Principal fuente de ingresos de muchos usuarios. Conocer los requisitos y el procedimiento es esencial.</w:t>
            </w:r>
          </w:p>
        </w:tc>
      </w:tr>
      <w:tr>
        <w:tc>
          <w:tcPr>
            <w:tcW w:type="dxa" w:w="2500"/>
            <w:shd w:fill="F2F2F2" w:val="clear"/>
            <w:tcMar>
              <w:top w:type="dxa" w:w="60"/>
              <w:left w:type="dxa" w:w="100"/>
              <w:bottom w:type="dxa" w:w="60"/>
              <w:right w:type="dxa" w:w="100"/>
            </w:tcMar>
          </w:tcPr>
          <w:p>
            <w:r>
              <w:rPr>
                <w:rFonts w:ascii="Calibri" w:cs="Calibri" w:eastAsia="Calibri" w:hAnsi="Calibri"/>
                <w:sz w:val="20"/>
                <w:szCs w:val="20"/>
              </w:rPr>
              <w:t xml:space="preserve">Ley 45/2007, de Desarrollo Rural</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5326"/>
            <w:shd w:fill="F2F2F2" w:val="clear"/>
            <w:tcMar>
              <w:top w:type="dxa" w:w="60"/>
              <w:left w:type="dxa" w:w="100"/>
              <w:bottom w:type="dxa" w:w="60"/>
              <w:right w:type="dxa" w:w="100"/>
            </w:tcMar>
          </w:tcPr>
          <w:p>
            <w:r>
              <w:rPr>
                <w:rFonts w:ascii="Calibri" w:cs="Calibri" w:eastAsia="Calibri" w:hAnsi="Calibri"/>
                <w:sz w:val="20"/>
                <w:szCs w:val="20"/>
              </w:rPr>
              <w:t xml:space="preserve">No aplicable directamente, pero algunos programas HF rurales pueden acogerse a programas de desarrollo rural.</w:t>
            </w:r>
          </w:p>
        </w:tc>
      </w:tr>
      <w:tr>
        <w:tc>
          <w:tcPr>
            <w:tcW w:type="dxa" w:w="2500"/>
            <w:shd w:fill="FFFFFF" w:val="clear"/>
            <w:tcMar>
              <w:top w:type="dxa" w:w="60"/>
              <w:left w:type="dxa" w:w="100"/>
              <w:bottom w:type="dxa" w:w="60"/>
              <w:right w:type="dxa" w:w="100"/>
            </w:tcMar>
          </w:tcPr>
          <w:p>
            <w:r>
              <w:rPr>
                <w:rFonts w:ascii="Calibri" w:cs="Calibri" w:eastAsia="Calibri" w:hAnsi="Calibri"/>
                <w:sz w:val="20"/>
                <w:szCs w:val="20"/>
              </w:rPr>
              <w:t xml:space="preserve">Ley 38/2003, General de Subvenciones</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Estatal</w:t>
            </w:r>
          </w:p>
        </w:tc>
        <w:tc>
          <w:tcPr>
            <w:tcW w:type="dxa" w:w="5326"/>
            <w:shd w:fill="FFFFFF" w:val="clear"/>
            <w:tcMar>
              <w:top w:type="dxa" w:w="60"/>
              <w:left w:type="dxa" w:w="100"/>
              <w:bottom w:type="dxa" w:w="60"/>
              <w:right w:type="dxa" w:w="100"/>
            </w:tcMar>
          </w:tcPr>
          <w:p>
            <w:r>
              <w:rPr>
                <w:rFonts w:ascii="Calibri" w:cs="Calibri" w:eastAsia="Calibri" w:hAnsi="Calibri"/>
                <w:sz w:val="20"/>
                <w:szCs w:val="20"/>
              </w:rPr>
              <w:t xml:space="preserve">Regula el régimen jurídico de las subvenciones públicas. FUNDAMENTAL para la gestión de la financiación de programas HF.</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Adicionalmente, cada Comunidad Autónoma tiene su propia Ley de Servicios Sociales que regula el sistema de servicios sociales en su territorio. Es imprescindible conocer la normativa autonómica aplicable en el territorio donde opera el programa.</w:t>
      </w:r>
    </w:p>
    <w:p>
      <w:pPr>
        <w:pStyle w:val="Heading2"/>
        <w:shd w:fill="2E75B6" w:val="clear"/>
        <w:spacing w:after="120" w:before="200"/>
      </w:pPr>
      <w:r>
        <w:rPr>
          <w:rFonts w:ascii="Calibri" w:cs="Calibri" w:eastAsia="Calibri" w:hAnsi="Calibri"/>
          <w:b/>
          <w:bCs/>
          <w:color w:val="FFFFFF"/>
          <w:sz w:val="26"/>
          <w:szCs w:val="26"/>
        </w:rPr>
        <w:t xml:space="preserve">22.2 Derecho a la Vivienda: Normativa Vigente</w:t>
      </w:r>
    </w:p>
    <w:p>
      <w:pPr>
        <w:spacing w:after="100" w:before="100"/>
        <w:jc w:val="both"/>
      </w:pPr>
      <w:r>
        <w:rPr>
          <w:rFonts w:ascii="Calibri" w:cs="Calibri" w:eastAsia="Calibri" w:hAnsi="Calibri"/>
          <w:b w:val="false"/>
          <w:bCs w:val="false"/>
          <w:i w:val="false"/>
          <w:iCs w:val="false"/>
          <w:color w:val="000000"/>
          <w:sz w:val="22"/>
          <w:szCs w:val="22"/>
        </w:rPr>
        <w:t xml:space="preserve">El acceso a una vivienda digna es un derecho recogido en el artículo 47 de la Constitución Española de 1978. Sin embargo, durante décadas fue considerado un principio rector de la política económica y social, sin plena eficacia jurídica. La aprobación de la Ley por el Derecho a la Vivienda en 2023 supone un cambio significativo.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2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Norma</w:t>
            </w:r>
          </w:p>
        </w:tc>
        <w:tc>
          <w:tcPr>
            <w:tcW w:type="dxa" w:w="62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Contenido relevante para HF</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Art. 47 CE (1978)</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Reconoce el derecho a una vivienda digna y adecuada. Obliga a los poderes públicos a promover las condiciones necesarias. Principio rector; no es directamente justiciable.</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Ley 12/2023, por el Derecho a la Vivienda</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Primera ley estatal de vivienda con contenido sustantivo. Regula: parques de vivienda protegida, zonas tensionadas de alquiler, vivienda asequible incentivada, derechos de inquilinos, y por primera vez reconoce explícitamente la función social de la vivienda.</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Plan Estatal de Vivienda 2022-2025 (RD 42/2022)</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Regula las ayudas estatales al alquiler (bono alquiler joven, ayudas a la rehabilitación, parques de alquiler social). Algunos programas HF pueden acceder a estas ayudas.</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Normativa autonómica de vivienda</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Cada CCAA tiene normativa propia. En CCAA como Cataluña, País Vasco o Navarra existe normativa más desarrollada sobre vivienda social y acceso a colectivos vulnerables.</w:t>
            </w:r>
          </w:p>
        </w:tc>
      </w:tr>
    </w:tbl>
    <w:p>
      <w:pPr>
        <w:pStyle w:val="Heading2"/>
        <w:shd w:fill="2E75B6" w:val="clear"/>
        <w:spacing w:after="120" w:before="200"/>
      </w:pPr>
      <w:r>
        <w:rPr>
          <w:rFonts w:ascii="Calibri" w:cs="Calibri" w:eastAsia="Calibri" w:hAnsi="Calibri"/>
          <w:b/>
          <w:bCs/>
          <w:color w:val="FFFFFF"/>
          <w:sz w:val="26"/>
          <w:szCs w:val="26"/>
        </w:rPr>
        <w:t xml:space="preserve">22.3 Legislación en Materia de Salud Mental</w:t>
      </w:r>
    </w:p>
    <w:p>
      <w:pPr>
        <w:spacing w:after="100" w:before="100"/>
        <w:jc w:val="both"/>
      </w:pPr>
      <w:r>
        <w:rPr>
          <w:rFonts w:ascii="Calibri" w:cs="Calibri" w:eastAsia="Calibri" w:hAnsi="Calibri"/>
          <w:b w:val="false"/>
          <w:bCs w:val="false"/>
          <w:i w:val="false"/>
          <w:iCs w:val="false"/>
          <w:color w:val="000000"/>
          <w:sz w:val="22"/>
          <w:szCs w:val="22"/>
        </w:rPr>
        <w:t xml:space="preserve">Dado que la mayoría de personas usuarias de programas Housing First tienen diagnósticos de trastorno mental, el conocimiento de la legislación en salud mental es imprescindible.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2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Norma</w:t>
            </w:r>
          </w:p>
        </w:tc>
        <w:tc>
          <w:tcPr>
            <w:tcW w:type="dxa" w:w="62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Aspecto clave para profesionales HF</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Art. 763 LEC (Internamiento no voluntario)</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Regula el internamiento psiquiátrico involuntario por razón de trastorno psíquico. El juez competente debe autorizar el internamiento (excepto en urgencias). El profesional HF puede tener que actuar como testigo o informante.</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Ley 14/1986, General de Sanidad</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Reconoce el derecho a la atención sanitaria de todas las personas independientemente de su situación legal. Fundamental para usuarios sin documentación en vigor.</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RD 1030/2006 (Cartera de Servicios del SNS)</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Define las prestaciones a las que tienen derecho todas las personas. Incluye atención de urgencias, atención primaria y atención especializada incluyendo salud mental.</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Estrategia de Salud Mental del SNS</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Marco de referencia para la política de salud mental en España. Incluye compromisos sobre atención comunitaria, desinstitucionalización y participación de los usuarios.</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Convención ONU sobre Derechos de Personas con Discapacidad (2006, ratificada España 2008)</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Reconoce la capacidad jurídica de todas las personas con discapacidad. Ha motivado la reforma de la legislación española sobre tutela (Ley 8/2021).</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Ley 8/2021 (Discapacidad y apoyos)</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Reforma radical del sistema de tutela. Sustituye la incapacitación por medidas de apoyo. Refuerza la autonomía de la voluntad. Muy relevante para usuarios HF con TMG.</w:t>
            </w:r>
          </w:p>
        </w:tc>
      </w:tr>
    </w:tbl>
    <w:p>
      <w:pPr>
        <w:pStyle w:val="Heading2"/>
        <w:shd w:fill="2E75B6" w:val="clear"/>
        <w:spacing w:after="120" w:before="200"/>
      </w:pPr>
      <w:r>
        <w:rPr>
          <w:rFonts w:ascii="Calibri" w:cs="Calibri" w:eastAsia="Calibri" w:hAnsi="Calibri"/>
          <w:b/>
          <w:bCs/>
          <w:color w:val="FFFFFF"/>
          <w:sz w:val="26"/>
          <w:szCs w:val="26"/>
        </w:rPr>
        <w:t xml:space="preserve">22.4 Normativa sobre Subvenciones y Justificación de Fondos Públicos</w:t>
      </w:r>
    </w:p>
    <w:p>
      <w:pPr>
        <w:spacing w:after="100" w:before="100"/>
        <w:jc w:val="both"/>
      </w:pPr>
      <w:r>
        <w:rPr>
          <w:rFonts w:ascii="Calibri" w:cs="Calibri" w:eastAsia="Calibri" w:hAnsi="Calibri"/>
          <w:b w:val="false"/>
          <w:bCs w:val="false"/>
          <w:i w:val="false"/>
          <w:iCs w:val="false"/>
          <w:color w:val="000000"/>
          <w:sz w:val="22"/>
          <w:szCs w:val="22"/>
        </w:rPr>
        <w:t xml:space="preserve">La financiación de los programas Housing First procede en la mayoría de los casos de subvenciones públicas (estatales, autonómicas, locales o europeas). El incumplimiento de las obligaciones de justificación puede implicar la devolución de los fondos recibidos, con graves consecuencias para el programa y la entidad.</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Marco normativo básico de subvenciones</w:t>
            </w:r>
          </w:p>
          <w:p>
            <w:pPr>
              <w:spacing w:after="60" w:before="60"/>
            </w:pPr>
            <w:r>
              <w:rPr>
                <w:rFonts w:ascii="Calibri" w:cs="Calibri" w:eastAsia="Calibri" w:hAnsi="Calibri"/>
                <w:sz w:val="22"/>
                <w:szCs w:val="22"/>
              </w:rPr>
              <w:t xml:space="preserve">- Ley 38/2003, de 17 de noviembre, General de Subvenciones (LGS): norma básica del régimen jurídico de subvenciones en España.</w:t>
            </w:r>
          </w:p>
          <w:p>
            <w:pPr>
              <w:spacing w:after="60" w:before="60"/>
            </w:pPr>
            <w:r>
              <w:rPr>
                <w:rFonts w:ascii="Calibri" w:cs="Calibri" w:eastAsia="Calibri" w:hAnsi="Calibri"/>
                <w:sz w:val="22"/>
                <w:szCs w:val="22"/>
              </w:rPr>
              <w:t xml:space="preserve">- Real Decreto 887/2006: Reglamento de la LGS. Desarrolla los procedimientos de concesión, justificación y control.</w:t>
            </w:r>
          </w:p>
          <w:p>
            <w:pPr>
              <w:spacing w:after="60" w:before="60"/>
            </w:pPr>
            <w:r>
              <w:rPr>
                <w:rFonts w:ascii="Calibri" w:cs="Calibri" w:eastAsia="Calibri" w:hAnsi="Calibri"/>
                <w:sz w:val="22"/>
                <w:szCs w:val="22"/>
              </w:rPr>
              <w:t xml:space="preserve">- Ley 47/2003, General Presupuestaria: regula el control financiero de las subvenciones por la Intervención General.</w:t>
            </w:r>
          </w:p>
          <w:p>
            <w:pPr>
              <w:spacing w:after="60" w:before="60"/>
            </w:pPr>
            <w:r>
              <w:rPr>
                <w:rFonts w:ascii="Calibri" w:cs="Calibri" w:eastAsia="Calibri" w:hAnsi="Calibri"/>
                <w:sz w:val="22"/>
                <w:szCs w:val="22"/>
              </w:rPr>
              <w:t xml:space="preserve">- Normativa autonómica y local: cada administración puede tener sus propias normas sobre subvenciones.</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Las obligaciones más críticas para los coordinadores de programas subvencionados son:</w:t>
      </w:r>
    </w:p>
    <w:p>
      <w:pPr>
        <w:pStyle w:val="ListParagraph"/>
        <w:numPr>
          <w:ilvl w:val="0"/>
          <w:numId w:val="2"/>
        </w:numPr>
        <w:spacing w:after="80" w:before="80"/>
        <w:ind w:left="360"/>
      </w:pPr>
      <w:r>
        <w:rPr>
          <w:rFonts w:ascii="Calibri" w:cs="Calibri" w:eastAsia="Calibri" w:hAnsi="Calibri"/>
          <w:sz w:val="22"/>
          <w:szCs w:val="22"/>
        </w:rPr>
        <w:t xml:space="preserve">Ejecutar el proyecto conforme al objeto, actividades y presupuesto aprobados en la resolución de concesión.</w:t>
      </w:r>
    </w:p>
    <w:p>
      <w:pPr>
        <w:pStyle w:val="ListParagraph"/>
        <w:numPr>
          <w:ilvl w:val="0"/>
          <w:numId w:val="2"/>
        </w:numPr>
        <w:spacing w:after="80" w:before="80"/>
        <w:ind w:left="360"/>
      </w:pPr>
      <w:r>
        <w:rPr>
          <w:rFonts w:ascii="Calibri" w:cs="Calibri" w:eastAsia="Calibri" w:hAnsi="Calibri"/>
          <w:sz w:val="22"/>
          <w:szCs w:val="22"/>
        </w:rPr>
        <w:t xml:space="preserve">Llevar una contabilidad separada o un sistema de seguimiento diferenciado para los gastos imputados a la subvención.</w:t>
      </w:r>
    </w:p>
    <w:p>
      <w:pPr>
        <w:pStyle w:val="ListParagraph"/>
        <w:numPr>
          <w:ilvl w:val="0"/>
          <w:numId w:val="2"/>
        </w:numPr>
        <w:spacing w:after="80" w:before="80"/>
        <w:ind w:left="360"/>
      </w:pPr>
      <w:r>
        <w:rPr>
          <w:rFonts w:ascii="Calibri" w:cs="Calibri" w:eastAsia="Calibri" w:hAnsi="Calibri"/>
          <w:sz w:val="22"/>
          <w:szCs w:val="22"/>
        </w:rPr>
        <w:t xml:space="preserve">Conservar todos los justificantes de gasto (facturas, nóminas, contratos) durante el período establecido (mínimo 4 años en general; 10 años en fondos europeos).</w:t>
      </w:r>
    </w:p>
    <w:p>
      <w:pPr>
        <w:pStyle w:val="ListParagraph"/>
        <w:numPr>
          <w:ilvl w:val="0"/>
          <w:numId w:val="2"/>
        </w:numPr>
        <w:spacing w:after="80" w:before="80"/>
        <w:ind w:left="360"/>
      </w:pPr>
      <w:r>
        <w:rPr>
          <w:rFonts w:ascii="Calibri" w:cs="Calibri" w:eastAsia="Calibri" w:hAnsi="Calibri"/>
          <w:sz w:val="22"/>
          <w:szCs w:val="22"/>
        </w:rPr>
        <w:t xml:space="preserve">Presentar la justificación en el plazo establecido en la resolución de concesión (nunca superar sin autorización).</w:t>
      </w:r>
    </w:p>
    <w:p>
      <w:pPr>
        <w:pStyle w:val="ListParagraph"/>
        <w:numPr>
          <w:ilvl w:val="0"/>
          <w:numId w:val="2"/>
        </w:numPr>
        <w:spacing w:after="80" w:before="80"/>
        <w:ind w:left="360"/>
      </w:pPr>
      <w:r>
        <w:rPr>
          <w:rFonts w:ascii="Calibri" w:cs="Calibri" w:eastAsia="Calibri" w:hAnsi="Calibri"/>
          <w:sz w:val="22"/>
          <w:szCs w:val="22"/>
        </w:rPr>
        <w:t xml:space="preserve">Comunicar cualquier modificación del proyecto (cambio de actividades, presupuesto, plazos) antes de ejecutarla.</w:t>
      </w:r>
    </w:p>
    <w:p>
      <w:pPr>
        <w:pStyle w:val="ListParagraph"/>
        <w:numPr>
          <w:ilvl w:val="0"/>
          <w:numId w:val="2"/>
        </w:numPr>
        <w:spacing w:after="80" w:before="80"/>
        <w:ind w:left="360"/>
      </w:pPr>
      <w:r>
        <w:rPr>
          <w:rFonts w:ascii="Calibri" w:cs="Calibri" w:eastAsia="Calibri" w:hAnsi="Calibri"/>
          <w:sz w:val="22"/>
          <w:szCs w:val="22"/>
        </w:rPr>
        <w:t xml:space="preserve">Someterse a las comprobaciones de la entidad concedente y del órgano de control financiero (Intervención).</w:t>
      </w:r>
    </w:p>
    <w:p>
      <w:pPr>
        <w:pStyle w:val="ListParagraph"/>
        <w:numPr>
          <w:ilvl w:val="0"/>
          <w:numId w:val="2"/>
        </w:numPr>
        <w:spacing w:after="80" w:before="80"/>
        <w:ind w:left="360"/>
      </w:pPr>
      <w:r>
        <w:rPr>
          <w:rFonts w:ascii="Calibri" w:cs="Calibri" w:eastAsia="Calibri" w:hAnsi="Calibri"/>
          <w:sz w:val="22"/>
          <w:szCs w:val="22"/>
        </w:rPr>
        <w:t xml:space="preserve">Cumplir las obligaciones de publicidad y difusión de la financiación pública recibida.</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C00000" w:sz="4"/>
              <w:left w:val="single" w:color="C00000" w:sz="12"/>
              <w:bottom w:val="single" w:color="C00000" w:sz="4"/>
              <w:right w:val="none"/>
            </w:tcBorders>
            <w:shd w:fill="FFDCE0" w:val="clear"/>
            <w:tcMar>
              <w:top w:type="dxa" w:w="100"/>
              <w:left w:type="dxa" w:w="150"/>
              <w:bottom w:type="dxa" w:w="100"/>
              <w:right w:type="dxa" w:w="150"/>
            </w:tcMar>
          </w:tcPr>
          <w:p>
            <w:pPr>
              <w:spacing w:after="80" w:before="80"/>
            </w:pPr>
            <w:r>
              <w:rPr>
                <w:rFonts w:ascii="Calibri" w:cs="Calibri" w:eastAsia="Calibri" w:hAnsi="Calibri"/>
                <w:b/>
                <w:bCs/>
                <w:color w:val="C00000"/>
                <w:sz w:val="24"/>
                <w:szCs w:val="24"/>
              </w:rPr>
              <w:t xml:space="preserve">Errores frecuentes en la justificación de subvenciones para programas Housing First</w:t>
            </w:r>
          </w:p>
          <w:p>
            <w:pPr>
              <w:spacing w:after="60" w:before="60"/>
            </w:pPr>
            <w:r>
              <w:rPr>
                <w:rFonts w:ascii="Calibri" w:cs="Calibri" w:eastAsia="Calibri" w:hAnsi="Calibri"/>
                <w:sz w:val="22"/>
                <w:szCs w:val="22"/>
              </w:rPr>
              <w:t xml:space="preserve">1. Imputar gastos de personal no previstos en la memoria aprobada (nuevas contrataciones, cambios de jornada).</w:t>
            </w:r>
          </w:p>
          <w:p>
            <w:pPr>
              <w:spacing w:after="60" w:before="60"/>
            </w:pPr>
            <w:r>
              <w:rPr>
                <w:rFonts w:ascii="Calibri" w:cs="Calibri" w:eastAsia="Calibri" w:hAnsi="Calibri"/>
                <w:sz w:val="22"/>
                <w:szCs w:val="22"/>
              </w:rPr>
              <w:t xml:space="preserve">2. Superar los límites de modificación presupuestaria permitidos sin solicitar autorización previa.</w:t>
            </w:r>
          </w:p>
          <w:p>
            <w:pPr>
              <w:spacing w:after="60" w:before="60"/>
            </w:pPr>
            <w:r>
              <w:rPr>
                <w:rFonts w:ascii="Calibri" w:cs="Calibri" w:eastAsia="Calibri" w:hAnsi="Calibri"/>
                <w:sz w:val="22"/>
                <w:szCs w:val="22"/>
              </w:rPr>
              <w:t xml:space="preserve">3. Facturas con fecha fuera del período subvencionable.</w:t>
            </w:r>
          </w:p>
          <w:p>
            <w:pPr>
              <w:spacing w:after="60" w:before="60"/>
            </w:pPr>
            <w:r>
              <w:rPr>
                <w:rFonts w:ascii="Calibri" w:cs="Calibri" w:eastAsia="Calibri" w:hAnsi="Calibri"/>
                <w:sz w:val="22"/>
                <w:szCs w:val="22"/>
              </w:rPr>
              <w:t xml:space="preserve">4. Ausencia de registros de actividad que acrediten la realización de las acciones subvencionadas (visitas, reuniones, atenciones).</w:t>
            </w:r>
          </w:p>
          <w:p>
            <w:pPr>
              <w:spacing w:after="60" w:before="60"/>
            </w:pPr>
            <w:r>
              <w:rPr>
                <w:rFonts w:ascii="Calibri" w:cs="Calibri" w:eastAsia="Calibri" w:hAnsi="Calibri"/>
                <w:sz w:val="22"/>
                <w:szCs w:val="22"/>
              </w:rPr>
              <w:t xml:space="preserve">5. No separar contablemente los gastos de la subvención de los gastos generales de la entidad.</w:t>
            </w:r>
          </w:p>
          <w:p>
            <w:pPr>
              <w:spacing w:after="60" w:before="60"/>
            </w:pPr>
            <w:r>
              <w:rPr>
                <w:rFonts w:ascii="Calibri" w:cs="Calibri" w:eastAsia="Calibri" w:hAnsi="Calibri"/>
                <w:sz w:val="22"/>
                <w:szCs w:val="22"/>
              </w:rPr>
              <w:t xml:space="preserve">6. Gastos de representación o no elegibles imputados a la subvención.</w:t>
            </w:r>
          </w:p>
          <w:p>
            <w:pPr>
              <w:spacing w:after="60" w:before="60"/>
            </w:pPr>
            <w:r>
              <w:rPr>
                <w:rFonts w:ascii="Calibri" w:cs="Calibri" w:eastAsia="Calibri" w:hAnsi="Calibri"/>
                <w:sz w:val="22"/>
                <w:szCs w:val="22"/>
              </w:rPr>
              <w:t xml:space="preserve">7. Incumplimiento del período mínimo de publicidad en los materiales del programa.</w:t>
            </w:r>
          </w:p>
        </w:tc>
      </w:tr>
    </w:tbl>
    <w:p>
      <w:pPr>
        <w:pStyle w:val="Heading2"/>
        <w:shd w:fill="2E75B6" w:val="clear"/>
        <w:spacing w:after="120" w:before="200"/>
      </w:pPr>
      <w:r>
        <w:rPr>
          <w:rFonts w:ascii="Calibri" w:cs="Calibri" w:eastAsia="Calibri" w:hAnsi="Calibri"/>
          <w:b/>
          <w:bCs/>
          <w:color w:val="FFFFFF"/>
          <w:sz w:val="26"/>
          <w:szCs w:val="26"/>
        </w:rPr>
        <w:t xml:space="preserve">22.5 Normativa Europea: PRTR y Mecanismo de Recuperación</w:t>
      </w:r>
    </w:p>
    <w:p>
      <w:pPr>
        <w:spacing w:after="100" w:before="100"/>
        <w:jc w:val="both"/>
      </w:pPr>
      <w:r>
        <w:rPr>
          <w:rFonts w:ascii="Calibri" w:cs="Calibri" w:eastAsia="Calibri" w:hAnsi="Calibri"/>
          <w:b w:val="false"/>
          <w:bCs w:val="false"/>
          <w:i w:val="false"/>
          <w:iCs w:val="false"/>
          <w:color w:val="000000"/>
          <w:sz w:val="22"/>
          <w:szCs w:val="22"/>
        </w:rPr>
        <w:t xml:space="preserve">En el contexto actual (2024-2026), un número creciente de programas de atención a personas sin hogar y Housing First se financian con fondos europeos, en particular a través del Plan de Recuperación, Transformación y Resiliencia (PRTR) vinculado al Mecanismo de Recuperación y Resiliencia (MRR) de la UE.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2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Instrumento</w:t>
            </w:r>
          </w:p>
        </w:tc>
        <w:tc>
          <w:tcPr>
            <w:tcW w:type="dxa" w:w="62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Características clave</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Mecanismo de Recuperación y Resiliencia (MRR) — Reglamento UE 2021/241</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Fondo europeo no estructural dotado con 723.800 M€ a nivel europeo (España: 163.000 M€). Orientado a la recuperación post-COVID y las transiciones verde y digital.</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Plan de Recuperación, Transformación y Resiliencia (PRTR)</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Plan nacional español de inversiones y reformas financiado con fondos MRR. Incluye el componente 22 (Economía de los Cuidados) y el 20 (Plan de Choque de Economía Social) donde pueden encuadrarse programas de inclusión social.</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Principio DNSH (Do No Significant Harm)</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Todos los proyectos financiados con fondos MRR deben demostrar que no causan perjuicio significativo a ninguno de los 6 objetivos medioambientales de la UE. Relevante para proyectos de rehabilitación de vivienda.</w:t>
            </w:r>
          </w:p>
        </w:tc>
      </w:tr>
      <w:tr>
        <w:tc>
          <w:tcPr>
            <w:tcW w:type="dxa" w:w="2800"/>
            <w:shd w:fill="FFFFFF" w:val="clear"/>
            <w:tcMar>
              <w:top w:type="dxa" w:w="60"/>
              <w:left w:type="dxa" w:w="100"/>
              <w:bottom w:type="dxa" w:w="60"/>
              <w:right w:type="dxa" w:w="100"/>
            </w:tcMar>
          </w:tcPr>
          <w:p>
            <w:r>
              <w:rPr>
                <w:rFonts w:ascii="Calibri" w:cs="Calibri" w:eastAsia="Calibri" w:hAnsi="Calibri"/>
                <w:sz w:val="20"/>
                <w:szCs w:val="20"/>
              </w:rPr>
              <w:t xml:space="preserve">Principio de no duplicidad</w:t>
            </w:r>
          </w:p>
        </w:tc>
        <w:tc>
          <w:tcPr>
            <w:tcW w:type="dxa" w:w="6226"/>
            <w:shd w:fill="FFFFFF" w:val="clear"/>
            <w:tcMar>
              <w:top w:type="dxa" w:w="60"/>
              <w:left w:type="dxa" w:w="100"/>
              <w:bottom w:type="dxa" w:w="60"/>
              <w:right w:type="dxa" w:w="100"/>
            </w:tcMar>
          </w:tcPr>
          <w:p>
            <w:r>
              <w:rPr>
                <w:rFonts w:ascii="Calibri" w:cs="Calibri" w:eastAsia="Calibri" w:hAnsi="Calibri"/>
                <w:sz w:val="20"/>
                <w:szCs w:val="20"/>
              </w:rPr>
              <w:t xml:space="preserve">Los mismos gastos no pueden justificarse en más de un instrumento de financiación europeo simultáneamente.</w:t>
            </w:r>
          </w:p>
        </w:tc>
      </w:tr>
      <w:tr>
        <w:tc>
          <w:tcPr>
            <w:tcW w:type="dxa" w:w="2800"/>
            <w:shd w:fill="F2F2F2" w:val="clear"/>
            <w:tcMar>
              <w:top w:type="dxa" w:w="60"/>
              <w:left w:type="dxa" w:w="100"/>
              <w:bottom w:type="dxa" w:w="60"/>
              <w:right w:type="dxa" w:w="100"/>
            </w:tcMar>
          </w:tcPr>
          <w:p>
            <w:r>
              <w:rPr>
                <w:rFonts w:ascii="Calibri" w:cs="Calibri" w:eastAsia="Calibri" w:hAnsi="Calibri"/>
                <w:sz w:val="20"/>
                <w:szCs w:val="20"/>
              </w:rPr>
              <w:t xml:space="preserve">Auditoría y control</w:t>
            </w:r>
          </w:p>
        </w:tc>
        <w:tc>
          <w:tcPr>
            <w:tcW w:type="dxa" w:w="6226"/>
            <w:shd w:fill="F2F2F2" w:val="clear"/>
            <w:tcMar>
              <w:top w:type="dxa" w:w="60"/>
              <w:left w:type="dxa" w:w="100"/>
              <w:bottom w:type="dxa" w:w="60"/>
              <w:right w:type="dxa" w:w="100"/>
            </w:tcMar>
          </w:tcPr>
          <w:p>
            <w:r>
              <w:rPr>
                <w:rFonts w:ascii="Calibri" w:cs="Calibri" w:eastAsia="Calibri" w:hAnsi="Calibri"/>
                <w:sz w:val="20"/>
                <w:szCs w:val="20"/>
              </w:rPr>
              <w:t xml:space="preserve">La Comisión Europea, la IGAE, el Tribunal de Cuentas y la OLAF tienen competencias de control sobre los fondos MRR. Las obligaciones de conservación de documentación son más exigentes (10 años).</w:t>
            </w:r>
          </w:p>
        </w:tc>
      </w:tr>
    </w:tbl>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Para los programas Housing First financiados con fondos PRTR/MRR, es especialmente importante:</w:t>
      </w:r>
    </w:p>
    <w:p>
      <w:pPr>
        <w:pStyle w:val="ListParagraph"/>
        <w:numPr>
          <w:ilvl w:val="0"/>
          <w:numId w:val="3"/>
        </w:numPr>
        <w:spacing w:after="80" w:before="80"/>
        <w:ind w:left="360"/>
      </w:pPr>
      <w:r>
        <w:rPr>
          <w:rFonts w:ascii="Calibri" w:cs="Calibri" w:eastAsia="Calibri" w:hAnsi="Calibri"/>
          <w:sz w:val="22"/>
          <w:szCs w:val="22"/>
        </w:rPr>
        <w:t xml:space="preserve">Verificar que el programa se encuadra en los componentes e inversiones del PRTR que lo financian y cumple los hitos y objetivos establecidos.</w:t>
      </w:r>
    </w:p>
    <w:p>
      <w:pPr>
        <w:pStyle w:val="ListParagraph"/>
        <w:numPr>
          <w:ilvl w:val="0"/>
          <w:numId w:val="3"/>
        </w:numPr>
        <w:spacing w:after="80" w:before="80"/>
        <w:ind w:left="360"/>
      </w:pPr>
      <w:r>
        <w:rPr>
          <w:rFonts w:ascii="Calibri" w:cs="Calibri" w:eastAsia="Calibri" w:hAnsi="Calibri"/>
          <w:sz w:val="22"/>
          <w:szCs w:val="22"/>
        </w:rPr>
        <w:t xml:space="preserve">Documentar exhaustivamente todos los gastos y actividades con el nivel de detalle exigido por la normativa europea.</w:t>
      </w:r>
    </w:p>
    <w:p>
      <w:pPr>
        <w:pStyle w:val="ListParagraph"/>
        <w:numPr>
          <w:ilvl w:val="0"/>
          <w:numId w:val="3"/>
        </w:numPr>
        <w:spacing w:after="80" w:before="80"/>
        <w:ind w:left="360"/>
      </w:pPr>
      <w:r>
        <w:rPr>
          <w:rFonts w:ascii="Calibri" w:cs="Calibri" w:eastAsia="Calibri" w:hAnsi="Calibri"/>
          <w:sz w:val="22"/>
          <w:szCs w:val="22"/>
        </w:rPr>
        <w:t xml:space="preserve">Cumplir los plazos de ejecución y justificación establecidos, que son más estrictos que en subvenciones ordinarias.</w:t>
      </w:r>
    </w:p>
    <w:p>
      <w:pPr>
        <w:pStyle w:val="ListParagraph"/>
        <w:numPr>
          <w:ilvl w:val="0"/>
          <w:numId w:val="3"/>
        </w:numPr>
        <w:spacing w:after="80" w:before="80"/>
        <w:ind w:left="360"/>
      </w:pPr>
      <w:r>
        <w:rPr>
          <w:rFonts w:ascii="Calibri" w:cs="Calibri" w:eastAsia="Calibri" w:hAnsi="Calibri"/>
          <w:sz w:val="22"/>
          <w:szCs w:val="22"/>
        </w:rPr>
        <w:t xml:space="preserve">Garantizar la visibilidad del financiamiento europeo en todos los materiales del programa.</w:t>
      </w:r>
    </w:p>
    <w:p>
      <w:pPr>
        <w:pStyle w:val="Heading2"/>
        <w:shd w:fill="2E75B6" w:val="clear"/>
        <w:spacing w:after="120" w:before="200"/>
      </w:pPr>
      <w:r>
        <w:rPr>
          <w:rFonts w:ascii="Calibri" w:cs="Calibri" w:eastAsia="Calibri" w:hAnsi="Calibri"/>
          <w:b/>
          <w:bCs/>
          <w:color w:val="FFFFFF"/>
          <w:sz w:val="26"/>
          <w:szCs w:val="26"/>
        </w:rPr>
        <w:t xml:space="preserve">22.6 Checklist de Cumplimiento Normativo para Programas Housing First</w:t>
      </w:r>
    </w:p>
    <w:p>
      <w:pPr>
        <w:spacing w:after="100" w:before="100"/>
        <w:jc w:val="both"/>
      </w:pPr>
      <w:r>
        <w:rPr>
          <w:rFonts w:ascii="Calibri" w:cs="Calibri" w:eastAsia="Calibri" w:hAnsi="Calibri"/>
          <w:b w:val="false"/>
          <w:bCs w:val="false"/>
          <w:i w:val="false"/>
          <w:iCs w:val="false"/>
          <w:color w:val="000000"/>
          <w:sz w:val="22"/>
          <w:szCs w:val="22"/>
        </w:rPr>
        <w:t xml:space="preserve">Se presenta a continuación una lista de verificación para que los coordinadores de programas Housing First puedan comprobar el cumplimiento de las principales obligaciones normativas: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9026"/>
            <w:gridSpan w:val="2"/>
            <w:shd w:fill="1F4E79" w:val="clear"/>
            <w:tcMar>
              <w:top w:type="dxa" w:w="80"/>
              <w:left w:type="dxa" w:w="120"/>
              <w:bottom w:type="dxa" w:w="80"/>
              <w:right w:type="dxa" w:w="120"/>
            </w:tcMar>
          </w:tcPr>
          <w:p>
            <w:pPr>
              <w:jc w:val="center"/>
            </w:pPr>
            <w:r>
              <w:rPr>
                <w:rFonts w:ascii="Calibri" w:cs="Calibri" w:eastAsia="Calibri" w:hAnsi="Calibri"/>
                <w:b/>
                <w:bCs/>
                <w:color w:val="FFFFFF"/>
                <w:sz w:val="22"/>
                <w:szCs w:val="22"/>
              </w:rPr>
              <w:t xml:space="preserve">CHECKLIST DE CUMPLIMIENTO NORMATIVO — PROGRAMA HOUSING FIRST</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Período de verificación: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__ / 20__ — elaborado por: [Cargo]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PROTECCIÓN DE DATOS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Consentimiento informado firmado por todas las personas usuarias: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 / Parcial</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Registro de actividades de tratamiento actualizado: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Expedientes bajo llave o con control de acceso digital: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Datos digitales con cifrado y contraseña: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Procedimiento de respuesta a derechos ARCO+ documentado: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GESTIÓN DE LA SUBVENCIÓN</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Contabilidad separada para gastos de la subvención: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Todos los justificantes de gasto conservados y archivados: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Gastos dentro del período subvencionable:</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Gastos conformes al presupuesto aprobado (o con modificación autorizada):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Registros de actividad que acreditan las acciones realizadas: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Memoria de actividades en preparación (plazo de justificación):</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Publicidad del financiador en materiales del programa: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OBLIGACIONES LABORALES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Contratos de trabajo en vigor para todo el personal:</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Prevención de riesgos laborales: evaluación de riesgos del puesto: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Formación en PRL al día: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CALIDAD Y EVALUACIÓN</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Sistema de evaluación con indicadores documentado: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Revisión de EUIC en plazo para todas las personas usuarias: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Informe de seguimiento del período elaborado: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Escala de fidelidad aplicada en el último año: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9026"/>
            <w:gridSpan w:val="2"/>
            <w:shd w:fill="D6E4F0" w:val="clear"/>
            <w:tcMar>
              <w:top w:type="dxa" w:w="80"/>
              <w:left w:type="dxa" w:w="120"/>
              <w:bottom w:type="dxa" w:w="80"/>
              <w:right w:type="dxa" w:w="120"/>
            </w:tcMar>
          </w:tcPr>
          <w:p>
            <w:pPr>
              <w:jc w:val="center"/>
            </w:pPr>
            <w:r>
              <w:rPr>
                <w:rFonts w:ascii="Calibri" w:cs="Calibri" w:eastAsia="Calibri" w:hAnsi="Calibri"/>
                <w:b/>
                <w:bCs/>
                <w:color w:val="1F4E79"/>
                <w:sz w:val="22"/>
                <w:szCs w:val="22"/>
              </w:rPr>
              <w:t xml:space="preserve">COORDINACIÓN Y PROTOCOLOS</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Protocolos de coordinación vigentes con principales servicios:</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Plan de actuación ante emergencias / crisis documentado: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Plan de supervisión del equipo implementado:</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Sí / No</w:t>
            </w:r>
          </w:p>
        </w:tc>
      </w:tr>
      <w:tr>
        <w:tc>
          <w:tcPr>
            <w:tcW w:type="dxa" w:w="3200"/>
            <w:shd w:fill="F2F2F2" w:val="clear"/>
            <w:tcMar>
              <w:top w:type="dxa" w:w="60"/>
              <w:left w:type="dxa" w:w="100"/>
              <w:bottom w:type="dxa" w:w="60"/>
              <w:right w:type="dxa" w:w="100"/>
            </w:tcMar>
          </w:tcPr>
          <w:p>
            <w:r>
              <w:rPr>
                <w:rFonts w:ascii="Calibri" w:cs="Calibri" w:eastAsia="Calibri" w:hAnsi="Calibri"/>
                <w:b/>
                <w:bCs/>
                <w:sz w:val="20"/>
                <w:szCs w:val="20"/>
              </w:rPr>
              <w:t xml:space="preserve">Observaciones / acciones de mejora:</w:t>
            </w:r>
          </w:p>
        </w:tc>
        <w:tc>
          <w:tcPr>
            <w:tcW w:type="dxa" w:w="5826"/>
            <w:shd w:fill="FFFFFF" w:val="clear"/>
            <w:tcMar>
              <w:top w:type="dxa" w:w="60"/>
              <w:left w:type="dxa" w:w="100"/>
              <w:bottom w:type="dxa" w:w="60"/>
              <w:right w:type="dxa" w:w="100"/>
            </w:tcMar>
          </w:tcPr>
          <w:p>
            <w:r>
              <w:rPr>
                <w:rFonts w:ascii="Calibri" w:cs="Calibri" w:eastAsia="Calibri" w:hAnsi="Calibri"/>
                <w:sz w:val="20"/>
                <w:szCs w:val="20"/>
              </w:rPr>
              <w:t xml:space="preserve"/>
            </w:r>
          </w:p>
        </w:tc>
      </w:tr>
    </w:tbl>
    <w:p>
      <w:pPr>
        <w:pStyle w:val="Heading1"/>
        <w:pageBreakBefore/>
        <w:shd w:fill="1F4E79" w:val="clear"/>
        <w:spacing w:after="200" w:before="240"/>
      </w:pPr>
      <w:r>
        <w:rPr>
          <w:rFonts w:ascii="Calibri" w:cs="Calibri" w:eastAsia="Calibri" w:hAnsi="Calibri"/>
          <w:b/>
          <w:bCs/>
          <w:color w:val="FFFFFF"/>
          <w:sz w:val="32"/>
          <w:szCs w:val="32"/>
        </w:rPr>
        <w:t xml:space="preserve">RESUMEN EJECUTIVO Y ACTIVIDADES DE CIERRE DEL CURSO</w:t>
      </w:r>
    </w:p>
    <w:p>
      <w:pPr>
        <w:pStyle w:val="Heading2"/>
        <w:shd w:fill="2E75B6" w:val="clear"/>
        <w:spacing w:after="120" w:before="200"/>
      </w:pPr>
      <w:r>
        <w:rPr>
          <w:rFonts w:ascii="Calibri" w:cs="Calibri" w:eastAsia="Calibri" w:hAnsi="Calibri"/>
          <w:b/>
          <w:bCs/>
          <w:color w:val="FFFFFF"/>
          <w:sz w:val="26"/>
          <w:szCs w:val="26"/>
        </w:rPr>
        <w:t xml:space="preserve">Síntesis del Curso: 22 Módulos de Housing First</w:t>
      </w:r>
    </w:p>
    <w:p>
      <w:pPr>
        <w:spacing w:after="100" w:before="100"/>
        <w:jc w:val="both"/>
      </w:pPr>
      <w:r>
        <w:rPr>
          <w:rFonts w:ascii="Calibri" w:cs="Calibri" w:eastAsia="Calibri" w:hAnsi="Calibri"/>
          <w:b w:val="false"/>
          <w:bCs w:val="false"/>
          <w:i w:val="false"/>
          <w:iCs w:val="false"/>
          <w:color w:val="000000"/>
          <w:sz w:val="22"/>
          <w:szCs w:val="22"/>
        </w:rPr>
        <w:t xml:space="preserve">A lo largo de las cinco partes de este curso hemos recorrido la metodología Housing First desde sus fundamentos históricos hasta su aplicación práctica más concreta. A continuación se presenta una síntesis ejecutiva de los aprendizajes clave: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18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Parte</w:t>
            </w:r>
          </w:p>
        </w:tc>
        <w:tc>
          <w:tcPr>
            <w:tcW w:type="dxa" w:w="1200"/>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Módulos</w:t>
            </w:r>
          </w:p>
        </w:tc>
        <w:tc>
          <w:tcPr>
            <w:tcW w:type="dxa" w:w="6026"/>
            <w:shd w:fill="1F4E79" w:val="clear"/>
            <w:tcMar>
              <w:top w:type="dxa" w:w="80"/>
              <w:left w:type="dxa" w:w="100"/>
              <w:bottom w:type="dxa" w:w="80"/>
              <w:right w:type="dxa" w:w="100"/>
            </w:tcMar>
          </w:tcPr>
          <w:p>
            <w:pPr>
              <w:jc w:val="center"/>
            </w:pPr>
            <w:r>
              <w:rPr>
                <w:rFonts w:ascii="Calibri" w:cs="Calibri" w:eastAsia="Calibri" w:hAnsi="Calibri"/>
                <w:b/>
                <w:bCs/>
                <w:color w:val="FFFFFF"/>
                <w:sz w:val="20"/>
                <w:szCs w:val="20"/>
              </w:rPr>
              <w:t xml:space="preserve">Aprendizajes clave</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Parte 1: Fundamentos</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1-5</w:t>
            </w:r>
          </w:p>
        </w:tc>
        <w:tc>
          <w:tcPr>
            <w:tcW w:type="dxa" w:w="6026"/>
            <w:shd w:fill="F2F2F2" w:val="clear"/>
            <w:tcMar>
              <w:top w:type="dxa" w:w="60"/>
              <w:left w:type="dxa" w:w="100"/>
              <w:bottom w:type="dxa" w:w="60"/>
              <w:right w:type="dxa" w:w="100"/>
            </w:tcMar>
          </w:tcPr>
          <w:p>
            <w:r>
              <w:rPr>
                <w:rFonts w:ascii="Calibri" w:cs="Calibri" w:eastAsia="Calibri" w:hAnsi="Calibri"/>
                <w:sz w:val="20"/>
                <w:szCs w:val="20"/>
              </w:rPr>
              <w:t xml:space="preserve">El Housing First es un modelo con sólida evidencia experimental (ECA), nacido en Nueva York en los 90, que invierte la lógica del escalado continuo. Su fidelidad se mide con instrumentos validados.</w:t>
            </w:r>
          </w:p>
        </w:tc>
      </w:tr>
      <w:tr>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Parte 2: Principios y Perfil</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6-9</w:t>
            </w:r>
          </w:p>
        </w:tc>
        <w:tc>
          <w:tcPr>
            <w:tcW w:type="dxa" w:w="6026"/>
            <w:shd w:fill="FFFFFF" w:val="clear"/>
            <w:tcMar>
              <w:top w:type="dxa" w:w="60"/>
              <w:left w:type="dxa" w:w="100"/>
              <w:bottom w:type="dxa" w:w="60"/>
              <w:right w:type="dxa" w:w="100"/>
            </w:tcMar>
          </w:tcPr>
          <w:p>
            <w:r>
              <w:rPr>
                <w:rFonts w:ascii="Calibri" w:cs="Calibri" w:eastAsia="Calibri" w:hAnsi="Calibri"/>
                <w:sz w:val="20"/>
                <w:szCs w:val="20"/>
              </w:rPr>
              <w:t xml:space="preserve">Seis principios metodológicos no negociables (vivienda como derecho, elección, separación apoyos, orientación recuperación, reducción de daños, no exigencia de abstinencia). El perfil de beneficiario requiere vulnerabilidad extrema y sinhogarismo crónico o recurrente.</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Parte 3: Gestión</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10-13</w:t>
            </w:r>
          </w:p>
        </w:tc>
        <w:tc>
          <w:tcPr>
            <w:tcW w:type="dxa" w:w="6026"/>
            <w:shd w:fill="F2F2F2" w:val="clear"/>
            <w:tcMar>
              <w:top w:type="dxa" w:w="60"/>
              <w:left w:type="dxa" w:w="100"/>
              <w:bottom w:type="dxa" w:w="60"/>
              <w:right w:type="dxa" w:w="100"/>
            </w:tcMar>
          </w:tcPr>
          <w:p>
            <w:r>
              <w:rPr>
                <w:rFonts w:ascii="Calibri" w:cs="Calibri" w:eastAsia="Calibri" w:hAnsi="Calibri"/>
                <w:sz w:val="20"/>
                <w:szCs w:val="20"/>
              </w:rPr>
              <w:t xml:space="preserve">La gestión del programa implica tres fases (preoperativa, operativa, consolidación), búsqueda activa de vivienda, coordinación institucional sistemática y gestión rigurosa de recursos económicos (presupuestos, memorias, justificación).</w:t>
            </w:r>
          </w:p>
        </w:tc>
      </w:tr>
      <w:tr>
        <w:tc>
          <w:tcPr>
            <w:tcW w:type="dxa" w:w="1800"/>
            <w:shd w:fill="FFFFFF" w:val="clear"/>
            <w:tcMar>
              <w:top w:type="dxa" w:w="60"/>
              <w:left w:type="dxa" w:w="100"/>
              <w:bottom w:type="dxa" w:w="60"/>
              <w:right w:type="dxa" w:w="100"/>
            </w:tcMar>
          </w:tcPr>
          <w:p>
            <w:r>
              <w:rPr>
                <w:rFonts w:ascii="Calibri" w:cs="Calibri" w:eastAsia="Calibri" w:hAnsi="Calibri"/>
                <w:sz w:val="20"/>
                <w:szCs w:val="20"/>
              </w:rPr>
              <w:t xml:space="preserve">Parte 4: Intervención</w:t>
            </w:r>
          </w:p>
        </w:tc>
        <w:tc>
          <w:tcPr>
            <w:tcW w:type="dxa" w:w="1200"/>
            <w:shd w:fill="FFFFFF" w:val="clear"/>
            <w:tcMar>
              <w:top w:type="dxa" w:w="60"/>
              <w:left w:type="dxa" w:w="100"/>
              <w:bottom w:type="dxa" w:w="60"/>
              <w:right w:type="dxa" w:w="100"/>
            </w:tcMar>
          </w:tcPr>
          <w:p>
            <w:r>
              <w:rPr>
                <w:rFonts w:ascii="Calibri" w:cs="Calibri" w:eastAsia="Calibri" w:hAnsi="Calibri"/>
                <w:sz w:val="20"/>
                <w:szCs w:val="20"/>
              </w:rPr>
              <w:t xml:space="preserve">14-17</w:t>
            </w:r>
          </w:p>
        </w:tc>
        <w:tc>
          <w:tcPr>
            <w:tcW w:type="dxa" w:w="6026"/>
            <w:shd w:fill="FFFFFF" w:val="clear"/>
            <w:tcMar>
              <w:top w:type="dxa" w:w="60"/>
              <w:left w:type="dxa" w:w="100"/>
              <w:bottom w:type="dxa" w:w="60"/>
              <w:right w:type="dxa" w:w="100"/>
            </w:tcMar>
          </w:tcPr>
          <w:p>
            <w:r>
              <w:rPr>
                <w:rFonts w:ascii="Calibri" w:cs="Calibri" w:eastAsia="Calibri" w:hAnsi="Calibri"/>
                <w:sz w:val="20"/>
                <w:szCs w:val="20"/>
              </w:rPr>
              <w:t xml:space="preserve">La intervención psicosocial se articula en fases (acogida, intervención, salida) con herramientas estructuradas (EUIC con 8 áreas, objetivos SMART, protocolo de visitas). La intervención en crisis y la gestión de salidas son momentos críticos.</w:t>
            </w:r>
          </w:p>
        </w:tc>
      </w:tr>
      <w:tr>
        <w:tc>
          <w:tcPr>
            <w:tcW w:type="dxa" w:w="1800"/>
            <w:shd w:fill="F2F2F2" w:val="clear"/>
            <w:tcMar>
              <w:top w:type="dxa" w:w="60"/>
              <w:left w:type="dxa" w:w="100"/>
              <w:bottom w:type="dxa" w:w="60"/>
              <w:right w:type="dxa" w:w="100"/>
            </w:tcMar>
          </w:tcPr>
          <w:p>
            <w:r>
              <w:rPr>
                <w:rFonts w:ascii="Calibri" w:cs="Calibri" w:eastAsia="Calibri" w:hAnsi="Calibri"/>
                <w:sz w:val="20"/>
                <w:szCs w:val="20"/>
              </w:rPr>
              <w:t xml:space="preserve">Parte 5: Evaluación y Ética</w:t>
            </w:r>
          </w:p>
        </w:tc>
        <w:tc>
          <w:tcPr>
            <w:tcW w:type="dxa" w:w="1200"/>
            <w:shd w:fill="F2F2F2" w:val="clear"/>
            <w:tcMar>
              <w:top w:type="dxa" w:w="60"/>
              <w:left w:type="dxa" w:w="100"/>
              <w:bottom w:type="dxa" w:w="60"/>
              <w:right w:type="dxa" w:w="100"/>
            </w:tcMar>
          </w:tcPr>
          <w:p>
            <w:r>
              <w:rPr>
                <w:rFonts w:ascii="Calibri" w:cs="Calibri" w:eastAsia="Calibri" w:hAnsi="Calibri"/>
                <w:sz w:val="20"/>
                <w:szCs w:val="20"/>
              </w:rPr>
              <w:t xml:space="preserve">18-22</w:t>
            </w:r>
          </w:p>
        </w:tc>
        <w:tc>
          <w:tcPr>
            <w:tcW w:type="dxa" w:w="6026"/>
            <w:shd w:fill="F2F2F2" w:val="clear"/>
            <w:tcMar>
              <w:top w:type="dxa" w:w="60"/>
              <w:left w:type="dxa" w:w="100"/>
              <w:bottom w:type="dxa" w:w="60"/>
              <w:right w:type="dxa" w:w="100"/>
            </w:tcMar>
          </w:tcPr>
          <w:p>
            <w:r>
              <w:rPr>
                <w:rFonts w:ascii="Calibri" w:cs="Calibri" w:eastAsia="Calibri" w:hAnsi="Calibri"/>
                <w:sz w:val="20"/>
                <w:szCs w:val="20"/>
              </w:rPr>
              <w:t xml:space="preserve">La evaluación sistemática (indicadores de proceso y resultado), la coordinación interinstitucional formalizada, la gestión de equipo con supervisión, el marco ético (autonomía, confidencialidad, dilemas) y el cumplimiento normativo (LOPD, LGS, PRTR) son los pilares de la sostenibilidad del programa.</w:t>
            </w:r>
          </w:p>
        </w:tc>
      </w:tr>
    </w:tbl>
    <w:p>
      <w:pPr>
        <w:pStyle w:val="Heading2"/>
        <w:shd w:fill="2E75B6" w:val="clear"/>
        <w:spacing w:after="120" w:before="200"/>
      </w:pPr>
      <w:r>
        <w:rPr>
          <w:rFonts w:ascii="Calibri" w:cs="Calibri" w:eastAsia="Calibri" w:hAnsi="Calibri"/>
          <w:b/>
          <w:bCs/>
          <w:color w:val="FFFFFF"/>
          <w:sz w:val="26"/>
          <w:szCs w:val="26"/>
        </w:rPr>
        <w:t xml:space="preserve">Decálogo del Profesional de Housing First</w:t>
      </w:r>
    </w:p>
    <w:tbl>
      <w:tblPr>
        <w:tblW w:type="dxa" w:w="9026"/>
        <w:tblBorders>
          <w:top w:val="none"/>
          <w:left w:val="none"/>
          <w:bottom w:val="none"/>
          <w:right w:val="none"/>
          <w:insideH w:val="none"/>
          <w:insideV w:val="none"/>
        </w:tblBorders>
      </w:tblPr>
      <w:tblGrid>
        <w:gridCol w:w="100"/>
      </w:tblGrid>
      <w:tr>
        <w:tc>
          <w:tcPr>
            <w:tcW w:type="dxa" w:w="9026"/>
            <w:tcBorders>
              <w:top w:val="single" w:color="1F4E79" w:sz="4"/>
              <w:left w:val="single" w:color="1F4E79" w:sz="12"/>
              <w:bottom w:val="single" w:color="1F4E79" w:sz="4"/>
              <w:right w:val="none"/>
            </w:tcBorders>
            <w:shd w:fill="D6E4F0" w:val="clear"/>
            <w:tcMar>
              <w:top w:type="dxa" w:w="100"/>
              <w:left w:type="dxa" w:w="150"/>
              <w:bottom w:type="dxa" w:w="100"/>
              <w:right w:type="dxa" w:w="150"/>
            </w:tcMar>
          </w:tcPr>
          <w:p>
            <w:pPr>
              <w:spacing w:after="80" w:before="80"/>
            </w:pPr>
            <w:r>
              <w:rPr>
                <w:rFonts w:ascii="Calibri" w:cs="Calibri" w:eastAsia="Calibri" w:hAnsi="Calibri"/>
                <w:b/>
                <w:bCs/>
                <w:color w:val="1F4E79"/>
                <w:sz w:val="24"/>
                <w:szCs w:val="24"/>
              </w:rPr>
              <w:t xml:space="preserve">Los 10 compromisos del/la profesional Housing First</w:t>
            </w:r>
          </w:p>
          <w:p>
            <w:pPr>
              <w:spacing w:after="60" w:before="60"/>
            </w:pPr>
            <w:r>
              <w:rPr>
                <w:rFonts w:ascii="Calibri" w:cs="Calibri" w:eastAsia="Calibri" w:hAnsi="Calibri"/>
                <w:sz w:val="22"/>
                <w:szCs w:val="22"/>
              </w:rPr>
              <w:t xml:space="preserve">1. CREO en el derecho incondicional de toda persona a una vivienda digna, independientemente de su situación de salud, consumo o conducta.</w:t>
            </w:r>
          </w:p>
          <w:p>
            <w:pPr>
              <w:spacing w:after="60" w:before="60"/>
            </w:pPr>
            <w:r>
              <w:rPr>
                <w:rFonts w:ascii="Calibri" w:cs="Calibri" w:eastAsia="Calibri" w:hAnsi="Calibri"/>
                <w:sz w:val="22"/>
                <w:szCs w:val="22"/>
              </w:rPr>
              <w:t xml:space="preserve">2. RESPETO la autonomía de cada persona para tomar sus propias decisiones sobre su vida, aunque no coincidan con las mías.</w:t>
            </w:r>
          </w:p>
          <w:p>
            <w:pPr>
              <w:spacing w:after="60" w:before="60"/>
            </w:pPr>
            <w:r>
              <w:rPr>
                <w:rFonts w:ascii="Calibri" w:cs="Calibri" w:eastAsia="Calibri" w:hAnsi="Calibri"/>
                <w:sz w:val="22"/>
                <w:szCs w:val="22"/>
              </w:rPr>
              <w:t xml:space="preserve">3. INTERVENGO desde la no imposición: ofrezco opciones reales, no condiciones.</w:t>
            </w:r>
          </w:p>
          <w:p>
            <w:pPr>
              <w:spacing w:after="60" w:before="60"/>
            </w:pPr>
            <w:r>
              <w:rPr>
                <w:rFonts w:ascii="Calibri" w:cs="Calibri" w:eastAsia="Calibri" w:hAnsi="Calibri"/>
                <w:sz w:val="22"/>
                <w:szCs w:val="22"/>
              </w:rPr>
              <w:t xml:space="preserve">4. ME MUEVO hacia donde están las personas: en sus casas, en la calle, en el margen. No espero que vengan a mí.</w:t>
            </w:r>
          </w:p>
          <w:p>
            <w:pPr>
              <w:spacing w:after="60" w:before="60"/>
            </w:pPr>
            <w:r>
              <w:rPr>
                <w:rFonts w:ascii="Calibri" w:cs="Calibri" w:eastAsia="Calibri" w:hAnsi="Calibri"/>
                <w:sz w:val="22"/>
                <w:szCs w:val="22"/>
              </w:rPr>
              <w:t xml:space="preserve">5. TRABAJO CON EVIDENCIA: evalúo mi práctica, uso instrumentos validados y aprendo de los resultados.</w:t>
            </w:r>
          </w:p>
          <w:p>
            <w:pPr>
              <w:spacing w:after="60" w:before="60"/>
            </w:pPr>
            <w:r>
              <w:rPr>
                <w:rFonts w:ascii="Calibri" w:cs="Calibri" w:eastAsia="Calibri" w:hAnsi="Calibri"/>
                <w:sz w:val="22"/>
                <w:szCs w:val="22"/>
              </w:rPr>
              <w:t xml:space="preserve">6. COORDINO activamente con otros sistemas: salud mental, servicios sociales, justicia, vivienda.</w:t>
            </w:r>
          </w:p>
          <w:p>
            <w:pPr>
              <w:spacing w:after="60" w:before="60"/>
            </w:pPr>
            <w:r>
              <w:rPr>
                <w:rFonts w:ascii="Calibri" w:cs="Calibri" w:eastAsia="Calibri" w:hAnsi="Calibri"/>
                <w:sz w:val="22"/>
                <w:szCs w:val="22"/>
              </w:rPr>
              <w:t xml:space="preserve">7. CUIDO a las personas con las que trabajo y me cuido a mí mismo/a, previniendo el burnout y participando en la supervisión.</w:t>
            </w:r>
          </w:p>
          <w:p>
            <w:pPr>
              <w:spacing w:after="60" w:before="60"/>
            </w:pPr>
            <w:r>
              <w:rPr>
                <w:rFonts w:ascii="Calibri" w:cs="Calibri" w:eastAsia="Calibri" w:hAnsi="Calibri"/>
                <w:sz w:val="22"/>
                <w:szCs w:val="22"/>
              </w:rPr>
              <w:t xml:space="preserve">8. PROTEJO la dignidad y la confidencialidad de las personas en todo momento.</w:t>
            </w:r>
          </w:p>
          <w:p>
            <w:pPr>
              <w:spacing w:after="60" w:before="60"/>
            </w:pPr>
            <w:r>
              <w:rPr>
                <w:rFonts w:ascii="Calibri" w:cs="Calibri" w:eastAsia="Calibri" w:hAnsi="Calibri"/>
                <w:sz w:val="22"/>
                <w:szCs w:val="22"/>
              </w:rPr>
              <w:t xml:space="preserve">9. CUMPLO las obligaciones legales: protección de datos, justificación de subvenciones, deontología profesional.</w:t>
            </w:r>
          </w:p>
          <w:p>
            <w:pPr>
              <w:spacing w:after="60" w:before="60"/>
            </w:pPr>
            <w:r>
              <w:rPr>
                <w:rFonts w:ascii="Calibri" w:cs="Calibri" w:eastAsia="Calibri" w:hAnsi="Calibri"/>
                <w:sz w:val="22"/>
                <w:szCs w:val="22"/>
              </w:rPr>
              <w:t xml:space="preserve">10. CONTRIBUYO a la transformación del sistema: cada programa Housing First es un argumento vivo para cambiar el paradigma.</w:t>
            </w:r>
          </w:p>
        </w:tc>
      </w:tr>
    </w:tbl>
    <w:p>
      <w:pPr>
        <w:pStyle w:val="Heading2"/>
        <w:shd w:fill="2E75B6" w:val="clear"/>
        <w:spacing w:after="120" w:before="200"/>
      </w:pPr>
      <w:r>
        <w:rPr>
          <w:rFonts w:ascii="Calibri" w:cs="Calibri" w:eastAsia="Calibri" w:hAnsi="Calibri"/>
          <w:b/>
          <w:bCs/>
          <w:color w:val="FFFFFF"/>
          <w:sz w:val="26"/>
          <w:szCs w:val="26"/>
        </w:rPr>
        <w:t xml:space="preserve">Actividades de Evaluación y Cierre</w:t>
      </w:r>
    </w:p>
    <w:p>
      <w:pPr>
        <w:spacing w:after="100" w:before="100"/>
        <w:jc w:val="both"/>
      </w:pPr>
      <w:r>
        <w:rPr>
          <w:rFonts w:ascii="Calibri" w:cs="Calibri" w:eastAsia="Calibri" w:hAnsi="Calibri"/>
          <w:b w:val="false"/>
          <w:bCs w:val="false"/>
          <w:i w:val="false"/>
          <w:iCs w:val="false"/>
          <w:color w:val="000000"/>
          <w:sz w:val="22"/>
          <w:szCs w:val="22"/>
        </w:rPr>
        <w:t xml:space="preserve">Se proponen las siguientes actividades para consolidar y evaluar los aprendizajes del curso completo:</w:t>
      </w:r>
    </w:p>
    <w:p>
      <w:pPr>
        <w:spacing w:after="120" w:before="120"/>
      </w:pPr>
      <w:r>
        <w:t xml:space="preserve"/>
      </w:r>
    </w:p>
    <w:p>
      <w:pPr>
        <w:pStyle w:val="Heading3"/>
        <w:spacing w:after="100" w:before="160"/>
      </w:pPr>
      <w:r>
        <w:rPr>
          <w:rFonts w:ascii="Calibri" w:cs="Calibri" w:eastAsia="Calibri" w:hAnsi="Calibri"/>
          <w:b/>
          <w:bCs/>
          <w:color w:val="1F4E79"/>
          <w:sz w:val="24"/>
          <w:szCs w:val="24"/>
        </w:rPr>
        <w:t xml:space="preserve">Actividad 1: Diseño de un Programa Housing First</w:t>
      </w:r>
    </w:p>
    <w:p>
      <w:pPr>
        <w:spacing w:after="100" w:before="100"/>
        <w:jc w:val="both"/>
      </w:pPr>
      <w:r>
        <w:rPr>
          <w:rFonts w:ascii="Calibri" w:cs="Calibri" w:eastAsia="Calibri" w:hAnsi="Calibri"/>
          <w:b w:val="false"/>
          <w:bCs w:val="false"/>
          <w:i w:val="false"/>
          <w:iCs w:val="false"/>
          <w:color w:val="000000"/>
          <w:sz w:val="22"/>
          <w:szCs w:val="22"/>
        </w:rPr>
        <w:t xml:space="preserve">Descripción: En grupos de 3-4 personas, diseñar un programa Housing First para una ciudad o territorio ficticio. El diseño debe incluir: justificación de la necesidad, perfil de beneficiarios, estructura del equipo y ratios, estructura de viviendas, presupuesto orientativo, sistema de evaluación y protocolo de coordinación interinstitucional.</w:t>
      </w:r>
    </w:p>
    <w:p>
      <w:pPr>
        <w:spacing w:after="100" w:before="100"/>
        <w:jc w:val="both"/>
      </w:pPr>
      <w:r>
        <w:rPr>
          <w:rFonts w:ascii="Calibri" w:cs="Calibri" w:eastAsia="Calibri" w:hAnsi="Calibri"/>
          <w:b w:val="false"/>
          <w:bCs w:val="false"/>
          <w:i w:val="false"/>
          <w:iCs w:val="false"/>
          <w:color w:val="000000"/>
          <w:sz w:val="22"/>
          <w:szCs w:val="22"/>
        </w:rPr>
        <w:t xml:space="preserve">Producto final: Memoria técnica de 10-15 páginas + presentación de 15 minutos.</w:t>
      </w:r>
    </w:p>
    <w:p>
      <w:pPr>
        <w:spacing w:after="120" w:before="120"/>
      </w:pPr>
      <w:r>
        <w:t xml:space="preserve"/>
      </w:r>
    </w:p>
    <w:p>
      <w:pPr>
        <w:pStyle w:val="Heading3"/>
        <w:spacing w:after="100" w:before="160"/>
      </w:pPr>
      <w:r>
        <w:rPr>
          <w:rFonts w:ascii="Calibri" w:cs="Calibri" w:eastAsia="Calibri" w:hAnsi="Calibri"/>
          <w:b/>
          <w:bCs/>
          <w:color w:val="1F4E79"/>
          <w:sz w:val="24"/>
          <w:szCs w:val="24"/>
        </w:rPr>
        <w:t xml:space="preserve">Actividad 2: Análisis de Caso Complejo</w:t>
      </w:r>
    </w:p>
    <w:p>
      <w:pPr>
        <w:spacing w:after="100" w:before="100"/>
        <w:jc w:val="both"/>
      </w:pPr>
      <w:r>
        <w:rPr>
          <w:rFonts w:ascii="Calibri" w:cs="Calibri" w:eastAsia="Calibri" w:hAnsi="Calibri"/>
          <w:b w:val="false"/>
          <w:bCs w:val="false"/>
          <w:i w:val="false"/>
          <w:iCs w:val="false"/>
          <w:color w:val="000000"/>
          <w:sz w:val="22"/>
          <w:szCs w:val="22"/>
        </w:rPr>
        <w:t xml:space="preserve">Descripción: Se presenta un caso ficticio complejo (persona con TMG, adicciones activas, antecedentes penales, conflictos de convivencia). Los participantes deben: elaborar el EUIC inicial, proponer objetivos SMART para los primeros 3 meses, identificar los dilemas éticos presentes, proponer el plan de coordinación interinstitucional y anticipar posibles crisis y su gestión.</w:t>
      </w:r>
    </w:p>
    <w:p>
      <w:pPr>
        <w:spacing w:after="100" w:before="100"/>
        <w:jc w:val="both"/>
      </w:pPr>
      <w:r>
        <w:rPr>
          <w:rFonts w:ascii="Calibri" w:cs="Calibri" w:eastAsia="Calibri" w:hAnsi="Calibri"/>
          <w:b w:val="false"/>
          <w:bCs w:val="false"/>
          <w:i w:val="false"/>
          <w:iCs w:val="false"/>
          <w:color w:val="000000"/>
          <w:sz w:val="22"/>
          <w:szCs w:val="22"/>
        </w:rPr>
        <w:t xml:space="preserve">Producto final: Exposición oral de 20 minutos + debate en gran grupo.</w:t>
      </w:r>
    </w:p>
    <w:p>
      <w:pPr>
        <w:spacing w:after="120" w:before="120"/>
      </w:pPr>
      <w:r>
        <w:t xml:space="preserve"/>
      </w:r>
    </w:p>
    <w:p>
      <w:pPr>
        <w:pStyle w:val="Heading3"/>
        <w:spacing w:after="100" w:before="160"/>
      </w:pPr>
      <w:r>
        <w:rPr>
          <w:rFonts w:ascii="Calibri" w:cs="Calibri" w:eastAsia="Calibri" w:hAnsi="Calibri"/>
          <w:b/>
          <w:bCs/>
          <w:color w:val="1F4E79"/>
          <w:sz w:val="24"/>
          <w:szCs w:val="24"/>
        </w:rPr>
        <w:t xml:space="preserve">Actividad 3: Auditoría de Fidelidad</w:t>
      </w:r>
    </w:p>
    <w:p>
      <w:pPr>
        <w:spacing w:after="100" w:before="100"/>
        <w:jc w:val="both"/>
      </w:pPr>
      <w:r>
        <w:rPr>
          <w:rFonts w:ascii="Calibri" w:cs="Calibri" w:eastAsia="Calibri" w:hAnsi="Calibri"/>
          <w:b w:val="false"/>
          <w:bCs w:val="false"/>
          <w:i w:val="false"/>
          <w:iCs w:val="false"/>
          <w:color w:val="000000"/>
          <w:sz w:val="22"/>
          <w:szCs w:val="22"/>
        </w:rPr>
        <w:t xml:space="preserve">Descripción: Utilizando la escala de fidelidad Housing First estudiada en el Módulo 5, los participantes realizan una auditoría simulada de un programa ficticio (con datos proporcionados por el formador/a) e identifican áreas de mejora.</w:t>
      </w:r>
    </w:p>
    <w:p>
      <w:pPr>
        <w:spacing w:after="100" w:before="100"/>
        <w:jc w:val="both"/>
      </w:pPr>
      <w:r>
        <w:rPr>
          <w:rFonts w:ascii="Calibri" w:cs="Calibri" w:eastAsia="Calibri" w:hAnsi="Calibri"/>
          <w:b w:val="false"/>
          <w:bCs w:val="false"/>
          <w:i w:val="false"/>
          <w:iCs w:val="false"/>
          <w:color w:val="000000"/>
          <w:sz w:val="22"/>
          <w:szCs w:val="22"/>
        </w:rPr>
        <w:t xml:space="preserve">Producto final: Informe de auditoría de 3-5 páginas con recomendaciones.</w:t>
      </w:r>
    </w:p>
    <w:p>
      <w:pPr>
        <w:spacing w:after="120" w:before="120"/>
      </w:pPr>
      <w:r>
        <w:t xml:space="preserve"/>
      </w:r>
    </w:p>
    <w:p>
      <w:pPr>
        <w:pStyle w:val="Heading3"/>
        <w:spacing w:after="100" w:before="160"/>
      </w:pPr>
      <w:r>
        <w:rPr>
          <w:rFonts w:ascii="Calibri" w:cs="Calibri" w:eastAsia="Calibri" w:hAnsi="Calibri"/>
          <w:b/>
          <w:bCs/>
          <w:color w:val="1F4E79"/>
          <w:sz w:val="24"/>
          <w:szCs w:val="24"/>
        </w:rPr>
        <w:t xml:space="preserve">Actividad 4: Reflexión Personal Escrita</w:t>
      </w:r>
    </w:p>
    <w:p>
      <w:pPr>
        <w:spacing w:after="100" w:before="100"/>
        <w:jc w:val="both"/>
      </w:pPr>
      <w:r>
        <w:rPr>
          <w:rFonts w:ascii="Calibri" w:cs="Calibri" w:eastAsia="Calibri" w:hAnsi="Calibri"/>
          <w:b w:val="false"/>
          <w:bCs w:val="false"/>
          <w:i w:val="false"/>
          <w:iCs w:val="false"/>
          <w:color w:val="000000"/>
          <w:sz w:val="22"/>
          <w:szCs w:val="22"/>
        </w:rPr>
        <w:t xml:space="preserve">Descripción: Reflexión individual (máximo 2 páginas) sobre: ¿Qué cambios introducirías en tu práctica profesional actual o futura a partir de lo aprendido en este curso? ¿Qué resistencias anticipas? ¿Cómo las abordarías?</w:t>
      </w:r>
    </w:p>
    <w:p>
      <w:pPr>
        <w:spacing w:after="120" w:before="120"/>
      </w:pPr>
      <w:r>
        <w:t xml:space="preserve"/>
      </w:r>
    </w:p>
    <w:p>
      <w:pPr>
        <w:pStyle w:val="Heading2"/>
        <w:shd w:fill="2E75B6" w:val="clear"/>
        <w:spacing w:after="120" w:before="200"/>
      </w:pPr>
      <w:r>
        <w:rPr>
          <w:rFonts w:ascii="Calibri" w:cs="Calibri" w:eastAsia="Calibri" w:hAnsi="Calibri"/>
          <w:b/>
          <w:bCs/>
          <w:color w:val="FFFFFF"/>
          <w:sz w:val="26"/>
          <w:szCs w:val="26"/>
        </w:rPr>
        <w:t xml:space="preserve">Bibliografía y Recursos Recomendados</w:t>
      </w:r>
    </w:p>
    <w:p>
      <w:pPr>
        <w:spacing w:after="100" w:before="100"/>
        <w:jc w:val="both"/>
      </w:pPr>
      <w:r>
        <w:rPr>
          <w:rFonts w:ascii="Calibri" w:cs="Calibri" w:eastAsia="Calibri" w:hAnsi="Calibri"/>
          <w:b w:val="false"/>
          <w:bCs w:val="false"/>
          <w:i w:val="false"/>
          <w:iCs w:val="false"/>
          <w:color w:val="000000"/>
          <w:sz w:val="22"/>
          <w:szCs w:val="22"/>
        </w:rPr>
        <w:t xml:space="preserve">Obras de referencia esenciales:</w:t>
      </w:r>
    </w:p>
    <w:p>
      <w:pPr>
        <w:spacing w:after="120" w:before="120"/>
      </w:pPr>
      <w:r>
        <w:t xml:space="preserve"/>
      </w:r>
    </w:p>
    <w:p>
      <w:pPr>
        <w:pStyle w:val="ListParagraph"/>
        <w:numPr>
          <w:ilvl w:val="0"/>
          <w:numId w:val="3"/>
        </w:numPr>
        <w:spacing w:after="80" w:before="80"/>
        <w:ind w:left="360"/>
      </w:pPr>
      <w:r>
        <w:rPr>
          <w:rFonts w:ascii="Calibri" w:cs="Calibri" w:eastAsia="Calibri" w:hAnsi="Calibri"/>
          <w:sz w:val="22"/>
          <w:szCs w:val="22"/>
        </w:rPr>
        <w:t xml:space="preserve">Tsemberis, S. (2010). Housing First: The Pathways Model to End Homelessness for People with Mental Illness and Addiction. Hazelden Publishing.</w:t>
      </w:r>
    </w:p>
    <w:p>
      <w:pPr>
        <w:pStyle w:val="ListParagraph"/>
        <w:numPr>
          <w:ilvl w:val="0"/>
          <w:numId w:val="3"/>
        </w:numPr>
        <w:spacing w:after="80" w:before="80"/>
        <w:ind w:left="360"/>
      </w:pPr>
      <w:r>
        <w:rPr>
          <w:rFonts w:ascii="Calibri" w:cs="Calibri" w:eastAsia="Calibri" w:hAnsi="Calibri"/>
          <w:sz w:val="22"/>
          <w:szCs w:val="22"/>
        </w:rPr>
        <w:t xml:space="preserve">Busch-Geertsema, V. (2013). Housing First Europe: Final Report. GISS, Bremen.</w:t>
      </w:r>
    </w:p>
    <w:p>
      <w:pPr>
        <w:pStyle w:val="ListParagraph"/>
        <w:numPr>
          <w:ilvl w:val="0"/>
          <w:numId w:val="3"/>
        </w:numPr>
        <w:spacing w:after="80" w:before="80"/>
        <w:ind w:left="360"/>
      </w:pPr>
      <w:r>
        <w:rPr>
          <w:rFonts w:ascii="Calibri" w:cs="Calibri" w:eastAsia="Calibri" w:hAnsi="Calibri"/>
          <w:sz w:val="22"/>
          <w:szCs w:val="22"/>
        </w:rPr>
        <w:t xml:space="preserve">Pleace, N. (2016). Housing First Guide Europe. FEANTSA.</w:t>
      </w:r>
    </w:p>
    <w:p>
      <w:pPr>
        <w:pStyle w:val="ListParagraph"/>
        <w:numPr>
          <w:ilvl w:val="0"/>
          <w:numId w:val="3"/>
        </w:numPr>
        <w:spacing w:after="80" w:before="80"/>
        <w:ind w:left="360"/>
      </w:pPr>
      <w:r>
        <w:rPr>
          <w:rFonts w:ascii="Calibri" w:cs="Calibri" w:eastAsia="Calibri" w:hAnsi="Calibri"/>
          <w:sz w:val="22"/>
          <w:szCs w:val="22"/>
        </w:rPr>
        <w:t xml:space="preserve">Observatorio AISBL (2017). Housing First Europe Hub: Guía de implementación (versión en español). FEANTSA/Housing First Europe Hub.</w:t>
      </w:r>
    </w:p>
    <w:p>
      <w:pPr>
        <w:pStyle w:val="ListParagraph"/>
        <w:numPr>
          <w:ilvl w:val="0"/>
          <w:numId w:val="3"/>
        </w:numPr>
        <w:spacing w:after="80" w:before="80"/>
        <w:ind w:left="360"/>
      </w:pPr>
      <w:r>
        <w:rPr>
          <w:rFonts w:ascii="Calibri" w:cs="Calibri" w:eastAsia="Calibri" w:hAnsi="Calibri"/>
          <w:sz w:val="22"/>
          <w:szCs w:val="22"/>
        </w:rPr>
        <w:t xml:space="preserve">Tsemberis, S., Gulcur, L. y Nakae, M. (2004). Housing First, Consumer Choice, and Harm Reduction for Homeless Individuals with a Dual Diagnosis. American Journal of Public Health, 94(4), 651-656.</w:t>
      </w:r>
    </w:p>
    <w:p>
      <w:pPr>
        <w:pStyle w:val="ListParagraph"/>
        <w:numPr>
          <w:ilvl w:val="0"/>
          <w:numId w:val="3"/>
        </w:numPr>
        <w:spacing w:after="80" w:before="80"/>
        <w:ind w:left="360"/>
      </w:pPr>
      <w:r>
        <w:rPr>
          <w:rFonts w:ascii="Calibri" w:cs="Calibri" w:eastAsia="Calibri" w:hAnsi="Calibri"/>
          <w:sz w:val="22"/>
          <w:szCs w:val="22"/>
        </w:rPr>
        <w:t xml:space="preserve">Pleace, N. y Bretherton, J. (2013). The Case for Housing First in the European Union: A Critical Evaluation of Concerns about Effectiveness. European Journal of Homelessness, 7(2), 21-43.</w:t>
      </w:r>
    </w:p>
    <w:p>
      <w:pPr>
        <w:spacing w:after="120" w:before="120"/>
      </w:pPr>
      <w:r>
        <w:t xml:space="preserve"/>
      </w:r>
    </w:p>
    <w:p>
      <w:pPr>
        <w:spacing w:after="100" w:before="100"/>
        <w:jc w:val="both"/>
      </w:pPr>
      <w:r>
        <w:rPr>
          <w:rFonts w:ascii="Calibri" w:cs="Calibri" w:eastAsia="Calibri" w:hAnsi="Calibri"/>
          <w:b w:val="false"/>
          <w:bCs w:val="false"/>
          <w:i w:val="false"/>
          <w:iCs w:val="false"/>
          <w:color w:val="000000"/>
          <w:sz w:val="22"/>
          <w:szCs w:val="22"/>
        </w:rPr>
        <w:t xml:space="preserve">Recursos en línea (verificar vigencia en el momento de uso):</w:t>
      </w:r>
    </w:p>
    <w:p>
      <w:pPr>
        <w:pStyle w:val="ListParagraph"/>
        <w:numPr>
          <w:ilvl w:val="0"/>
          <w:numId w:val="3"/>
        </w:numPr>
        <w:spacing w:after="80" w:before="80"/>
        <w:ind w:left="360"/>
      </w:pPr>
      <w:r>
        <w:rPr>
          <w:rFonts w:ascii="Calibri" w:cs="Calibri" w:eastAsia="Calibri" w:hAnsi="Calibri"/>
          <w:sz w:val="22"/>
          <w:szCs w:val="22"/>
        </w:rPr>
        <w:t xml:space="preserve">Housing First Europe Hub: www.housingfirsteurope.eu</w:t>
      </w:r>
    </w:p>
    <w:p>
      <w:pPr>
        <w:pStyle w:val="ListParagraph"/>
        <w:numPr>
          <w:ilvl w:val="0"/>
          <w:numId w:val="3"/>
        </w:numPr>
        <w:spacing w:after="80" w:before="80"/>
        <w:ind w:left="360"/>
      </w:pPr>
      <w:r>
        <w:rPr>
          <w:rFonts w:ascii="Calibri" w:cs="Calibri" w:eastAsia="Calibri" w:hAnsi="Calibri"/>
          <w:sz w:val="22"/>
          <w:szCs w:val="22"/>
        </w:rPr>
        <w:t xml:space="preserve">FEANTSA (Federación Europea de Organizaciones Nacionales que trabajan con Personas Sin Hogar): www.feantsa.org</w:t>
      </w:r>
    </w:p>
    <w:p>
      <w:pPr>
        <w:pStyle w:val="ListParagraph"/>
        <w:numPr>
          <w:ilvl w:val="0"/>
          <w:numId w:val="3"/>
        </w:numPr>
        <w:spacing w:after="80" w:before="80"/>
        <w:ind w:left="360"/>
      </w:pPr>
      <w:r>
        <w:rPr>
          <w:rFonts w:ascii="Calibri" w:cs="Calibri" w:eastAsia="Calibri" w:hAnsi="Calibri"/>
          <w:sz w:val="22"/>
          <w:szCs w:val="22"/>
        </w:rPr>
        <w:t xml:space="preserve">Ministerio de Derechos Sociales y Agenda 2030 — Estrategia Nacional de Personas Sin Hogar: www.inclusion.gob.es</w:t>
      </w:r>
    </w:p>
    <w:p>
      <w:pPr>
        <w:pStyle w:val="ListParagraph"/>
        <w:numPr>
          <w:ilvl w:val="0"/>
          <w:numId w:val="3"/>
        </w:numPr>
        <w:spacing w:after="80" w:before="80"/>
        <w:ind w:left="360"/>
      </w:pPr>
      <w:r>
        <w:rPr>
          <w:rFonts w:ascii="Calibri" w:cs="Calibri" w:eastAsia="Calibri" w:hAnsi="Calibri"/>
          <w:sz w:val="22"/>
          <w:szCs w:val="22"/>
        </w:rPr>
        <w:t xml:space="preserve">Red Araña (Red de Empresas de Inserción para el apoyo al empleo de personas sin hogar).</w:t>
      </w:r>
    </w:p>
    <w:p>
      <w:pPr>
        <w:pStyle w:val="ListParagraph"/>
        <w:numPr>
          <w:ilvl w:val="0"/>
          <w:numId w:val="3"/>
        </w:numPr>
        <w:spacing w:after="80" w:before="80"/>
        <w:ind w:left="360"/>
      </w:pPr>
      <w:r>
        <w:rPr>
          <w:rFonts w:ascii="Calibri" w:cs="Calibri" w:eastAsia="Calibri" w:hAnsi="Calibri"/>
          <w:sz w:val="22"/>
          <w:szCs w:val="22"/>
        </w:rPr>
        <w:t xml:space="preserve">EAPN España (Red Europea de Lucha contra la Pobreza y la Exclusión Social en España): www.eapn.es</w:t>
      </w:r>
    </w:p>
    <w:p>
      <w:pPr>
        <w:spacing w:after="120" w:before="120"/>
      </w:pPr>
      <w:r>
        <w:t xml:space="preserve"/>
      </w:r>
    </w:p>
    <w:tbl>
      <w:tblPr>
        <w:tblW w:type="dxa" w:w="9026"/>
        <w:tblBorders>
          <w:top w:val="none"/>
          <w:left w:val="none"/>
          <w:bottom w:val="none"/>
          <w:right w:val="none"/>
          <w:insideH w:val="none"/>
          <w:insideV w:val="none"/>
        </w:tblBorders>
      </w:tblPr>
      <w:tblGrid>
        <w:gridCol w:w="100"/>
      </w:tblGrid>
      <w:tr>
        <w:tc>
          <w:tcPr>
            <w:tcW w:type="dxa" w:w="9026"/>
            <w:tcBorders>
              <w:top w:val="single" w:color="1E6B3C" w:sz="4"/>
              <w:left w:val="single" w:color="1E6B3C" w:sz="12"/>
              <w:bottom w:val="single" w:color="1E6B3C" w:sz="4"/>
              <w:right w:val="none"/>
            </w:tcBorders>
            <w:shd w:fill="D5EFDC" w:val="clear"/>
            <w:tcMar>
              <w:top w:type="dxa" w:w="100"/>
              <w:left w:type="dxa" w:w="150"/>
              <w:bottom w:type="dxa" w:w="100"/>
              <w:right w:type="dxa" w:w="150"/>
            </w:tcMar>
          </w:tcPr>
          <w:p>
            <w:pPr>
              <w:spacing w:after="80" w:before="80"/>
            </w:pPr>
            <w:r>
              <w:rPr>
                <w:rFonts w:ascii="Calibri" w:cs="Calibri" w:eastAsia="Calibri" w:hAnsi="Calibri"/>
                <w:b/>
                <w:bCs/>
                <w:color w:val="1E6B3C"/>
                <w:sz w:val="24"/>
                <w:szCs w:val="24"/>
              </w:rPr>
              <w:t xml:space="preserve">Nota final del curso</w:t>
            </w:r>
          </w:p>
          <w:p>
            <w:pPr>
              <w:spacing w:after="60" w:before="60"/>
            </w:pPr>
            <w:r>
              <w:rPr>
                <w:rFonts w:ascii="Calibri" w:cs="Calibri" w:eastAsia="Calibri" w:hAnsi="Calibri"/>
                <w:sz w:val="22"/>
                <w:szCs w:val="22"/>
              </w:rPr>
              <w:t xml:space="preserve">Este curso ha sido elaborado a partir de la experiencia directa de coordinación de programas Housing First en múltiples territorios del Estado español. Todo el contenido ha sido anonimizado y no contiene datos personales identificativos de ninguna persona usuaria, profesional o entidad.</w:t>
            </w:r>
          </w:p>
          <w:p>
            <w:pPr>
              <w:spacing w:after="60" w:before="60"/>
            </w:pPr>
            <w:r>
              <w:rPr>
                <w:rFonts w:ascii="Calibri" w:cs="Calibri" w:eastAsia="Calibri" w:hAnsi="Calibri"/>
                <w:sz w:val="22"/>
                <w:szCs w:val="22"/>
              </w:rPr>
              <w:t xml:space="preserve">El Housing First es más que una metodología: es un argumento vivo de que las personas en situación de exclusión extrema pueden vivir con dignidad cuando se les da la oportunidad real de hacerlo. Esa es la razón de ser de quienes trabajamos en este campo.</w:t>
            </w:r>
          </w:p>
          <w:p>
            <w:pPr>
              <w:spacing w:after="60" w:before="60"/>
            </w:pPr>
            <w:r>
              <w:rPr>
                <w:rFonts w:ascii="Calibri" w:cs="Calibri" w:eastAsia="Calibri" w:hAnsi="Calibri"/>
                <w:sz w:val="22"/>
                <w:szCs w:val="22"/>
              </w:rPr>
              <w:t xml:space="preserve">Curso completado. Partes 1 a 5.</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18"/>
        <w:szCs w:val="18"/>
      </w:rPr>
      <w:t xml:space="preserve">Página </w:t>
    </w:r>
    <w:r>
      <w:rPr>
        <w:rFonts w:ascii="Calibri" w:cs="Calibri" w:eastAsia="Calibri" w:hAnsi="Calibri"/>
        <w:sz w:val="18"/>
        <w:szCs w:val="18"/>
      </w:rPr>
      <w:fldChar w:fldCharType="begin"/>
      <w:instrText xml:space="preserve">PAGE</w:instrText>
      <w:fldChar w:fldCharType="separate"/>
      <w:fldChar w:fldCharType="end"/>
    </w:r>
    <w:r>
      <w:rPr>
        <w:rFonts w:ascii="Calibri" w:cs="Calibri" w:eastAsia="Calibri" w:hAnsi="Calibri"/>
        <w:sz w:val="18"/>
        <w:szCs w:val="18"/>
      </w:rPr>
      <w:t xml:space="preserve"> | Documento elaborado para uso formativo interno — Contenido anonimizado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1F4E79" w:val="clear"/>
      <w:spacing w:after="60" w:before="60"/>
      <w:jc w:val="right"/>
    </w:pPr>
    <w:r>
      <w:rPr>
        <w:rFonts w:ascii="Calibri" w:cs="Calibri" w:eastAsia="Calibri" w:hAnsi="Calibri"/>
        <w:color w:val="FFFFFF"/>
        <w:sz w:val="16"/>
        <w:szCs w:val="16"/>
      </w:rPr>
      <w:t xml:space="preserve">HOUSING FIRST — Metodología y Práctica Profesional | Parte 5: Evaluación, Coordinación y Marco Ético-Legal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abstractNum w:abstractNumId="3" w15:restartNumberingAfterBreak="0">
    <w:multiLevelType w:val="hybridMultilevel"/>
    <w:lvl w:ilvl="0" w15:tentative="1">
      <w:start w:val="1"/>
      <w:numFmt w:val="decimal"/>
      <w:lvlText w:val="%1."/>
      <w:lvlJc w:val="left"/>
      <w:pPr>
        <w:ind w:left="360" w:hanging="1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2026-03-06T13:17:46.576Z</dcterms:created>
  <dcterms:modified xsi:type="dcterms:W3CDTF">2026-03-06T13:17:46.576Z</dcterms:modified>
</cp:coreProperties>
</file>

<file path=docProps/custom.xml><?xml version="1.0" encoding="utf-8"?>
<Properties xmlns="http://schemas.openxmlformats.org/officeDocument/2006/custom-properties" xmlns:vt="http://schemas.openxmlformats.org/officeDocument/2006/docPropsVTypes"/>
</file>